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37A07F48"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bookmarkEnd w:id="2"/>
      <w:r w:rsidR="00920287">
        <w:rPr>
          <w:rFonts w:asciiTheme="majorHAnsi" w:hAnsiTheme="majorHAnsi"/>
          <w:color w:val="FFFFFF" w:themeColor="background1"/>
          <w:sz w:val="72"/>
          <w:szCs w:val="72"/>
        </w:rPr>
        <w:t>l</w:t>
      </w:r>
      <w:r w:rsidR="00920287" w:rsidRPr="00920287">
        <w:rPr>
          <w:rFonts w:asciiTheme="majorHAnsi" w:hAnsiTheme="majorHAnsi"/>
          <w:color w:val="FFFFFF" w:themeColor="background1"/>
          <w:sz w:val="72"/>
          <w:szCs w:val="72"/>
        </w:rPr>
        <w:t>istopad</w:t>
      </w:r>
      <w:r w:rsidR="00404BC4" w:rsidRPr="00A46188">
        <w:rPr>
          <w:rFonts w:asciiTheme="majorHAnsi" w:hAnsiTheme="majorHAnsi"/>
          <w:color w:val="FFFFFF" w:themeColor="background1"/>
          <w:sz w:val="72"/>
          <w:szCs w:val="72"/>
        </w:rPr>
        <w:t xml:space="preserve"> 2020</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4863483"/>
      <w:r>
        <w:lastRenderedPageBreak/>
        <w:t>Obsah</w:t>
      </w:r>
      <w:bookmarkEnd w:id="3"/>
      <w:bookmarkEnd w:id="4"/>
    </w:p>
    <w:p w14:paraId="261DA057" w14:textId="5FB546CD" w:rsidR="00DB6D2E"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54863483" w:history="1">
        <w:r w:rsidR="00DB6D2E" w:rsidRPr="0095336D">
          <w:rPr>
            <w:rStyle w:val="Hyperlink"/>
            <w:noProof/>
          </w:rPr>
          <w:t>Obsah</w:t>
        </w:r>
        <w:r w:rsidR="00DB6D2E">
          <w:rPr>
            <w:noProof/>
            <w:webHidden/>
          </w:rPr>
          <w:tab/>
        </w:r>
        <w:r w:rsidR="00DB6D2E">
          <w:rPr>
            <w:noProof/>
            <w:webHidden/>
          </w:rPr>
          <w:fldChar w:fldCharType="begin"/>
        </w:r>
        <w:r w:rsidR="00DB6D2E">
          <w:rPr>
            <w:noProof/>
            <w:webHidden/>
          </w:rPr>
          <w:instrText xml:space="preserve"> PAGEREF _Toc54863483 \h </w:instrText>
        </w:r>
        <w:r w:rsidR="00DB6D2E">
          <w:rPr>
            <w:noProof/>
            <w:webHidden/>
          </w:rPr>
        </w:r>
        <w:r w:rsidR="00DB6D2E">
          <w:rPr>
            <w:noProof/>
            <w:webHidden/>
          </w:rPr>
          <w:fldChar w:fldCharType="separate"/>
        </w:r>
        <w:r w:rsidR="00DB6D2E">
          <w:rPr>
            <w:noProof/>
            <w:webHidden/>
          </w:rPr>
          <w:t>2</w:t>
        </w:r>
        <w:r w:rsidR="00DB6D2E">
          <w:rPr>
            <w:noProof/>
            <w:webHidden/>
          </w:rPr>
          <w:fldChar w:fldCharType="end"/>
        </w:r>
      </w:hyperlink>
    </w:p>
    <w:p w14:paraId="599CF80E" w14:textId="078D919C" w:rsidR="00DB6D2E" w:rsidRDefault="00C2473B">
      <w:pPr>
        <w:pStyle w:val="TOC1"/>
        <w:tabs>
          <w:tab w:val="right" w:leader="dot" w:pos="5030"/>
        </w:tabs>
        <w:rPr>
          <w:rFonts w:eastAsiaTheme="minorEastAsia"/>
          <w:b w:val="0"/>
          <w:caps w:val="0"/>
          <w:noProof/>
          <w:sz w:val="22"/>
          <w:lang w:val="en-US" w:eastAsia="en-US" w:bidi="ar-SA"/>
        </w:rPr>
      </w:pPr>
      <w:hyperlink w:anchor="_Toc54863484" w:history="1">
        <w:r w:rsidR="00DB6D2E" w:rsidRPr="0095336D">
          <w:rPr>
            <w:rStyle w:val="Hyperlink"/>
            <w:noProof/>
          </w:rPr>
          <w:t>Úvod</w:t>
        </w:r>
        <w:r w:rsidR="00DB6D2E">
          <w:rPr>
            <w:noProof/>
            <w:webHidden/>
          </w:rPr>
          <w:tab/>
        </w:r>
        <w:r w:rsidR="00DB6D2E">
          <w:rPr>
            <w:noProof/>
            <w:webHidden/>
          </w:rPr>
          <w:fldChar w:fldCharType="begin"/>
        </w:r>
        <w:r w:rsidR="00DB6D2E">
          <w:rPr>
            <w:noProof/>
            <w:webHidden/>
          </w:rPr>
          <w:instrText xml:space="preserve"> PAGEREF _Toc54863484 \h </w:instrText>
        </w:r>
        <w:r w:rsidR="00DB6D2E">
          <w:rPr>
            <w:noProof/>
            <w:webHidden/>
          </w:rPr>
        </w:r>
        <w:r w:rsidR="00DB6D2E">
          <w:rPr>
            <w:noProof/>
            <w:webHidden/>
          </w:rPr>
          <w:fldChar w:fldCharType="separate"/>
        </w:r>
        <w:r w:rsidR="00DB6D2E">
          <w:rPr>
            <w:noProof/>
            <w:webHidden/>
          </w:rPr>
          <w:t>3</w:t>
        </w:r>
        <w:r w:rsidR="00DB6D2E">
          <w:rPr>
            <w:noProof/>
            <w:webHidden/>
          </w:rPr>
          <w:fldChar w:fldCharType="end"/>
        </w:r>
      </w:hyperlink>
    </w:p>
    <w:p w14:paraId="75E511BE" w14:textId="14AA00BC" w:rsidR="00DB6D2E" w:rsidRDefault="00C2473B">
      <w:pPr>
        <w:pStyle w:val="TOC1"/>
        <w:tabs>
          <w:tab w:val="right" w:leader="dot" w:pos="5030"/>
        </w:tabs>
        <w:rPr>
          <w:rFonts w:eastAsiaTheme="minorEastAsia"/>
          <w:b w:val="0"/>
          <w:caps w:val="0"/>
          <w:noProof/>
          <w:sz w:val="22"/>
          <w:lang w:val="en-US" w:eastAsia="en-US" w:bidi="ar-SA"/>
        </w:rPr>
      </w:pPr>
      <w:hyperlink w:anchor="_Toc54863485" w:history="1">
        <w:r w:rsidR="00DB6D2E" w:rsidRPr="0095336D">
          <w:rPr>
            <w:rStyle w:val="Hyperlink"/>
            <w:noProof/>
          </w:rPr>
          <w:t>Obecné podmínky</w:t>
        </w:r>
        <w:r w:rsidR="00DB6D2E">
          <w:rPr>
            <w:noProof/>
            <w:webHidden/>
          </w:rPr>
          <w:tab/>
        </w:r>
        <w:r w:rsidR="00DB6D2E">
          <w:rPr>
            <w:noProof/>
            <w:webHidden/>
          </w:rPr>
          <w:fldChar w:fldCharType="begin"/>
        </w:r>
        <w:r w:rsidR="00DB6D2E">
          <w:rPr>
            <w:noProof/>
            <w:webHidden/>
          </w:rPr>
          <w:instrText xml:space="preserve"> PAGEREF _Toc54863485 \h </w:instrText>
        </w:r>
        <w:r w:rsidR="00DB6D2E">
          <w:rPr>
            <w:noProof/>
            <w:webHidden/>
          </w:rPr>
        </w:r>
        <w:r w:rsidR="00DB6D2E">
          <w:rPr>
            <w:noProof/>
            <w:webHidden/>
          </w:rPr>
          <w:fldChar w:fldCharType="separate"/>
        </w:r>
        <w:r w:rsidR="00DB6D2E">
          <w:rPr>
            <w:noProof/>
            <w:webHidden/>
          </w:rPr>
          <w:t>4</w:t>
        </w:r>
        <w:r w:rsidR="00DB6D2E">
          <w:rPr>
            <w:noProof/>
            <w:webHidden/>
          </w:rPr>
          <w:fldChar w:fldCharType="end"/>
        </w:r>
      </w:hyperlink>
    </w:p>
    <w:p w14:paraId="6FE68C00" w14:textId="05AB0F4D" w:rsidR="00DB6D2E" w:rsidRDefault="00C2473B">
      <w:pPr>
        <w:pStyle w:val="TOC1"/>
        <w:tabs>
          <w:tab w:val="right" w:leader="dot" w:pos="5030"/>
        </w:tabs>
        <w:rPr>
          <w:rFonts w:eastAsiaTheme="minorEastAsia"/>
          <w:b w:val="0"/>
          <w:caps w:val="0"/>
          <w:noProof/>
          <w:sz w:val="22"/>
          <w:lang w:val="en-US" w:eastAsia="en-US" w:bidi="ar-SA"/>
        </w:rPr>
      </w:pPr>
      <w:hyperlink w:anchor="_Toc54863486" w:history="1">
        <w:r w:rsidR="00DB6D2E" w:rsidRPr="0095336D">
          <w:rPr>
            <w:rStyle w:val="Hyperlink"/>
            <w:noProof/>
          </w:rPr>
          <w:t>Podmínky specifické pro služby</w:t>
        </w:r>
        <w:r w:rsidR="00DB6D2E">
          <w:rPr>
            <w:noProof/>
            <w:webHidden/>
          </w:rPr>
          <w:tab/>
        </w:r>
        <w:r w:rsidR="00DB6D2E">
          <w:rPr>
            <w:noProof/>
            <w:webHidden/>
          </w:rPr>
          <w:fldChar w:fldCharType="begin"/>
        </w:r>
        <w:r w:rsidR="00DB6D2E">
          <w:rPr>
            <w:noProof/>
            <w:webHidden/>
          </w:rPr>
          <w:instrText xml:space="preserve"> PAGEREF _Toc54863486 \h </w:instrText>
        </w:r>
        <w:r w:rsidR="00DB6D2E">
          <w:rPr>
            <w:noProof/>
            <w:webHidden/>
          </w:rPr>
        </w:r>
        <w:r w:rsidR="00DB6D2E">
          <w:rPr>
            <w:noProof/>
            <w:webHidden/>
          </w:rPr>
          <w:fldChar w:fldCharType="separate"/>
        </w:r>
        <w:r w:rsidR="00DB6D2E">
          <w:rPr>
            <w:noProof/>
            <w:webHidden/>
          </w:rPr>
          <w:t>6</w:t>
        </w:r>
        <w:r w:rsidR="00DB6D2E">
          <w:rPr>
            <w:noProof/>
            <w:webHidden/>
          </w:rPr>
          <w:fldChar w:fldCharType="end"/>
        </w:r>
      </w:hyperlink>
    </w:p>
    <w:p w14:paraId="7A95BE14" w14:textId="7C0FEA3B" w:rsidR="00DB6D2E" w:rsidRDefault="00C2473B">
      <w:pPr>
        <w:pStyle w:val="TOC2"/>
        <w:tabs>
          <w:tab w:val="right" w:leader="dot" w:pos="5030"/>
        </w:tabs>
        <w:rPr>
          <w:rFonts w:eastAsiaTheme="minorEastAsia"/>
          <w:b w:val="0"/>
          <w:smallCaps w:val="0"/>
          <w:noProof/>
          <w:sz w:val="22"/>
          <w:lang w:val="en-US" w:eastAsia="en-US" w:bidi="ar-SA"/>
        </w:rPr>
      </w:pPr>
      <w:hyperlink w:anchor="_Toc54863487" w:history="1">
        <w:r w:rsidR="00DB6D2E" w:rsidRPr="0095336D">
          <w:rPr>
            <w:rStyle w:val="Hyperlink"/>
            <w:noProof/>
          </w:rPr>
          <w:t>Microsoft Dynamics 365</w:t>
        </w:r>
        <w:r w:rsidR="00DB6D2E">
          <w:rPr>
            <w:noProof/>
            <w:webHidden/>
          </w:rPr>
          <w:tab/>
        </w:r>
        <w:r w:rsidR="00DB6D2E">
          <w:rPr>
            <w:noProof/>
            <w:webHidden/>
          </w:rPr>
          <w:fldChar w:fldCharType="begin"/>
        </w:r>
        <w:r w:rsidR="00DB6D2E">
          <w:rPr>
            <w:noProof/>
            <w:webHidden/>
          </w:rPr>
          <w:instrText xml:space="preserve"> PAGEREF _Toc54863487 \h </w:instrText>
        </w:r>
        <w:r w:rsidR="00DB6D2E">
          <w:rPr>
            <w:noProof/>
            <w:webHidden/>
          </w:rPr>
        </w:r>
        <w:r w:rsidR="00DB6D2E">
          <w:rPr>
            <w:noProof/>
            <w:webHidden/>
          </w:rPr>
          <w:fldChar w:fldCharType="separate"/>
        </w:r>
        <w:r w:rsidR="00DB6D2E">
          <w:rPr>
            <w:noProof/>
            <w:webHidden/>
          </w:rPr>
          <w:t>6</w:t>
        </w:r>
        <w:r w:rsidR="00DB6D2E">
          <w:rPr>
            <w:noProof/>
            <w:webHidden/>
          </w:rPr>
          <w:fldChar w:fldCharType="end"/>
        </w:r>
      </w:hyperlink>
    </w:p>
    <w:p w14:paraId="5DA9FCA0" w14:textId="2159DCFD" w:rsidR="00DB6D2E" w:rsidRDefault="00C2473B">
      <w:pPr>
        <w:pStyle w:val="TOC4"/>
        <w:tabs>
          <w:tab w:val="right" w:leader="dot" w:pos="5030"/>
        </w:tabs>
        <w:rPr>
          <w:rFonts w:eastAsiaTheme="minorEastAsia"/>
          <w:smallCaps w:val="0"/>
          <w:noProof/>
          <w:sz w:val="22"/>
          <w:lang w:val="en-US" w:eastAsia="en-US" w:bidi="ar-SA"/>
        </w:rPr>
      </w:pPr>
      <w:hyperlink w:anchor="_Toc54863488" w:history="1">
        <w:r w:rsidR="00DB6D2E" w:rsidRPr="0095336D">
          <w:rPr>
            <w:rStyle w:val="Hyperlink"/>
            <w:noProof/>
          </w:rPr>
          <w:t>Dynamics 365 Business Central</w:t>
        </w:r>
        <w:r w:rsidR="00DB6D2E">
          <w:rPr>
            <w:noProof/>
            <w:webHidden/>
          </w:rPr>
          <w:tab/>
        </w:r>
        <w:r w:rsidR="00DB6D2E">
          <w:rPr>
            <w:noProof/>
            <w:webHidden/>
          </w:rPr>
          <w:fldChar w:fldCharType="begin"/>
        </w:r>
        <w:r w:rsidR="00DB6D2E">
          <w:rPr>
            <w:noProof/>
            <w:webHidden/>
          </w:rPr>
          <w:instrText xml:space="preserve"> PAGEREF _Toc54863488 \h </w:instrText>
        </w:r>
        <w:r w:rsidR="00DB6D2E">
          <w:rPr>
            <w:noProof/>
            <w:webHidden/>
          </w:rPr>
        </w:r>
        <w:r w:rsidR="00DB6D2E">
          <w:rPr>
            <w:noProof/>
            <w:webHidden/>
          </w:rPr>
          <w:fldChar w:fldCharType="separate"/>
        </w:r>
        <w:r w:rsidR="00DB6D2E">
          <w:rPr>
            <w:noProof/>
            <w:webHidden/>
          </w:rPr>
          <w:t>6</w:t>
        </w:r>
        <w:r w:rsidR="00DB6D2E">
          <w:rPr>
            <w:noProof/>
            <w:webHidden/>
          </w:rPr>
          <w:fldChar w:fldCharType="end"/>
        </w:r>
      </w:hyperlink>
    </w:p>
    <w:p w14:paraId="5D4D6D99" w14:textId="3FCE4688" w:rsidR="00DB6D2E" w:rsidRDefault="00C2473B">
      <w:pPr>
        <w:pStyle w:val="TOC4"/>
        <w:tabs>
          <w:tab w:val="right" w:leader="dot" w:pos="5030"/>
        </w:tabs>
        <w:rPr>
          <w:rFonts w:eastAsiaTheme="minorEastAsia"/>
          <w:smallCaps w:val="0"/>
          <w:noProof/>
          <w:sz w:val="22"/>
          <w:lang w:val="en-US" w:eastAsia="en-US" w:bidi="ar-SA"/>
        </w:rPr>
      </w:pPr>
      <w:hyperlink w:anchor="_Toc54863489" w:history="1">
        <w:r w:rsidR="00DB6D2E" w:rsidRPr="0095336D">
          <w:rPr>
            <w:rStyle w:val="Hyperlink"/>
            <w:noProof/>
          </w:rPr>
          <w:t>Dynamics 365 Commerce</w:t>
        </w:r>
        <w:r w:rsidR="00DB6D2E">
          <w:rPr>
            <w:noProof/>
            <w:webHidden/>
          </w:rPr>
          <w:tab/>
        </w:r>
        <w:r w:rsidR="00DB6D2E">
          <w:rPr>
            <w:noProof/>
            <w:webHidden/>
          </w:rPr>
          <w:fldChar w:fldCharType="begin"/>
        </w:r>
        <w:r w:rsidR="00DB6D2E">
          <w:rPr>
            <w:noProof/>
            <w:webHidden/>
          </w:rPr>
          <w:instrText xml:space="preserve"> PAGEREF _Toc54863489 \h </w:instrText>
        </w:r>
        <w:r w:rsidR="00DB6D2E">
          <w:rPr>
            <w:noProof/>
            <w:webHidden/>
          </w:rPr>
        </w:r>
        <w:r w:rsidR="00DB6D2E">
          <w:rPr>
            <w:noProof/>
            <w:webHidden/>
          </w:rPr>
          <w:fldChar w:fldCharType="separate"/>
        </w:r>
        <w:r w:rsidR="00DB6D2E">
          <w:rPr>
            <w:noProof/>
            <w:webHidden/>
          </w:rPr>
          <w:t>6</w:t>
        </w:r>
        <w:r w:rsidR="00DB6D2E">
          <w:rPr>
            <w:noProof/>
            <w:webHidden/>
          </w:rPr>
          <w:fldChar w:fldCharType="end"/>
        </w:r>
      </w:hyperlink>
    </w:p>
    <w:p w14:paraId="7E7280DD" w14:textId="1475DF64" w:rsidR="00DB6D2E" w:rsidRDefault="00C2473B">
      <w:pPr>
        <w:pStyle w:val="TOC4"/>
        <w:tabs>
          <w:tab w:val="right" w:leader="dot" w:pos="5030"/>
        </w:tabs>
        <w:rPr>
          <w:rFonts w:eastAsiaTheme="minorEastAsia"/>
          <w:smallCaps w:val="0"/>
          <w:noProof/>
          <w:sz w:val="22"/>
          <w:lang w:val="en-US" w:eastAsia="en-US" w:bidi="ar-SA"/>
        </w:rPr>
      </w:pPr>
      <w:hyperlink w:anchor="_Toc54863490" w:history="1">
        <w:r w:rsidR="00DB6D2E" w:rsidRPr="0095336D">
          <w:rPr>
            <w:rStyle w:val="Hyperlink"/>
            <w:noProof/>
          </w:rPr>
          <w:t>Dynamics 365 Customer Insights</w:t>
        </w:r>
        <w:r w:rsidR="00DB6D2E">
          <w:rPr>
            <w:noProof/>
            <w:webHidden/>
          </w:rPr>
          <w:tab/>
        </w:r>
        <w:r w:rsidR="00DB6D2E">
          <w:rPr>
            <w:noProof/>
            <w:webHidden/>
          </w:rPr>
          <w:fldChar w:fldCharType="begin"/>
        </w:r>
        <w:r w:rsidR="00DB6D2E">
          <w:rPr>
            <w:noProof/>
            <w:webHidden/>
          </w:rPr>
          <w:instrText xml:space="preserve"> PAGEREF _Toc54863490 \h </w:instrText>
        </w:r>
        <w:r w:rsidR="00DB6D2E">
          <w:rPr>
            <w:noProof/>
            <w:webHidden/>
          </w:rPr>
        </w:r>
        <w:r w:rsidR="00DB6D2E">
          <w:rPr>
            <w:noProof/>
            <w:webHidden/>
          </w:rPr>
          <w:fldChar w:fldCharType="separate"/>
        </w:r>
        <w:r w:rsidR="00DB6D2E">
          <w:rPr>
            <w:noProof/>
            <w:webHidden/>
          </w:rPr>
          <w:t>7</w:t>
        </w:r>
        <w:r w:rsidR="00DB6D2E">
          <w:rPr>
            <w:noProof/>
            <w:webHidden/>
          </w:rPr>
          <w:fldChar w:fldCharType="end"/>
        </w:r>
      </w:hyperlink>
    </w:p>
    <w:p w14:paraId="09C688E9" w14:textId="48C12C96" w:rsidR="00DB6D2E" w:rsidRDefault="00C2473B">
      <w:pPr>
        <w:pStyle w:val="TOC4"/>
        <w:tabs>
          <w:tab w:val="right" w:leader="dot" w:pos="5030"/>
        </w:tabs>
        <w:rPr>
          <w:rFonts w:eastAsiaTheme="minorEastAsia"/>
          <w:smallCaps w:val="0"/>
          <w:noProof/>
          <w:sz w:val="22"/>
          <w:lang w:val="en-US" w:eastAsia="en-US" w:bidi="ar-SA"/>
        </w:rPr>
      </w:pPr>
      <w:hyperlink w:anchor="_Toc54863491" w:history="1">
        <w:r w:rsidR="00DB6D2E" w:rsidRPr="0095336D">
          <w:rPr>
            <w:rStyle w:val="Hyperlink"/>
            <w:noProof/>
          </w:rPr>
          <w:t xml:space="preserve">Dynamics 365 Customer Service Enterprise; Dynamics 365 Customer Service Professional; Dynamics 365 Customer Service Insights; </w:t>
        </w:r>
        <w:r w:rsidR="00DB6D2E" w:rsidRPr="0095336D">
          <w:rPr>
            <w:rStyle w:val="Hyperlink"/>
            <w:noProof/>
            <w:lang w:val="en-US"/>
          </w:rPr>
          <w:t>Dynamics 365 Field Service; Dynamics 365 Marketing</w:t>
        </w:r>
        <w:r w:rsidR="00DB6D2E">
          <w:rPr>
            <w:noProof/>
            <w:webHidden/>
          </w:rPr>
          <w:tab/>
        </w:r>
        <w:r w:rsidR="00DB6D2E">
          <w:rPr>
            <w:noProof/>
            <w:webHidden/>
          </w:rPr>
          <w:fldChar w:fldCharType="begin"/>
        </w:r>
        <w:r w:rsidR="00DB6D2E">
          <w:rPr>
            <w:noProof/>
            <w:webHidden/>
          </w:rPr>
          <w:instrText xml:space="preserve"> PAGEREF _Toc54863491 \h </w:instrText>
        </w:r>
        <w:r w:rsidR="00DB6D2E">
          <w:rPr>
            <w:noProof/>
            <w:webHidden/>
          </w:rPr>
        </w:r>
        <w:r w:rsidR="00DB6D2E">
          <w:rPr>
            <w:noProof/>
            <w:webHidden/>
          </w:rPr>
          <w:fldChar w:fldCharType="separate"/>
        </w:r>
        <w:r w:rsidR="00DB6D2E">
          <w:rPr>
            <w:noProof/>
            <w:webHidden/>
          </w:rPr>
          <w:t>7</w:t>
        </w:r>
        <w:r w:rsidR="00DB6D2E">
          <w:rPr>
            <w:noProof/>
            <w:webHidden/>
          </w:rPr>
          <w:fldChar w:fldCharType="end"/>
        </w:r>
      </w:hyperlink>
    </w:p>
    <w:p w14:paraId="207F1868" w14:textId="44726957" w:rsidR="00DB6D2E" w:rsidRDefault="00C2473B">
      <w:pPr>
        <w:pStyle w:val="TOC4"/>
        <w:tabs>
          <w:tab w:val="right" w:leader="dot" w:pos="5030"/>
        </w:tabs>
        <w:rPr>
          <w:rFonts w:eastAsiaTheme="minorEastAsia"/>
          <w:smallCaps w:val="0"/>
          <w:noProof/>
          <w:sz w:val="22"/>
          <w:lang w:val="en-US" w:eastAsia="en-US" w:bidi="ar-SA"/>
        </w:rPr>
      </w:pPr>
      <w:hyperlink w:anchor="_Toc54863492" w:history="1">
        <w:r w:rsidR="00DB6D2E" w:rsidRPr="0095336D">
          <w:rPr>
            <w:rStyle w:val="Hyperlink"/>
            <w:noProof/>
          </w:rPr>
          <w:t>Ochrana před podvody Dynamics 365</w:t>
        </w:r>
        <w:r w:rsidR="00DB6D2E">
          <w:rPr>
            <w:noProof/>
            <w:webHidden/>
          </w:rPr>
          <w:tab/>
        </w:r>
        <w:r w:rsidR="00DB6D2E">
          <w:rPr>
            <w:noProof/>
            <w:webHidden/>
          </w:rPr>
          <w:fldChar w:fldCharType="begin"/>
        </w:r>
        <w:r w:rsidR="00DB6D2E">
          <w:rPr>
            <w:noProof/>
            <w:webHidden/>
          </w:rPr>
          <w:instrText xml:space="preserve"> PAGEREF _Toc54863492 \h </w:instrText>
        </w:r>
        <w:r w:rsidR="00DB6D2E">
          <w:rPr>
            <w:noProof/>
            <w:webHidden/>
          </w:rPr>
        </w:r>
        <w:r w:rsidR="00DB6D2E">
          <w:rPr>
            <w:noProof/>
            <w:webHidden/>
          </w:rPr>
          <w:fldChar w:fldCharType="separate"/>
        </w:r>
        <w:r w:rsidR="00DB6D2E">
          <w:rPr>
            <w:noProof/>
            <w:webHidden/>
          </w:rPr>
          <w:t>7</w:t>
        </w:r>
        <w:r w:rsidR="00DB6D2E">
          <w:rPr>
            <w:noProof/>
            <w:webHidden/>
          </w:rPr>
          <w:fldChar w:fldCharType="end"/>
        </w:r>
      </w:hyperlink>
    </w:p>
    <w:p w14:paraId="46D80561" w14:textId="7BC31EEB" w:rsidR="00DB6D2E" w:rsidRDefault="00C2473B">
      <w:pPr>
        <w:pStyle w:val="TOC4"/>
        <w:tabs>
          <w:tab w:val="right" w:leader="dot" w:pos="5030"/>
        </w:tabs>
        <w:rPr>
          <w:rFonts w:eastAsiaTheme="minorEastAsia"/>
          <w:smallCaps w:val="0"/>
          <w:noProof/>
          <w:sz w:val="22"/>
          <w:lang w:val="en-US" w:eastAsia="en-US" w:bidi="ar-SA"/>
        </w:rPr>
      </w:pPr>
      <w:hyperlink w:anchor="_Toc54863493" w:history="1">
        <w:r w:rsidR="00DB6D2E" w:rsidRPr="0095336D">
          <w:rPr>
            <w:rStyle w:val="Hyperlink"/>
            <w:noProof/>
          </w:rPr>
          <w:t>Dynamics 365 Human Resources</w:t>
        </w:r>
        <w:r w:rsidR="00DB6D2E">
          <w:rPr>
            <w:noProof/>
            <w:webHidden/>
          </w:rPr>
          <w:tab/>
        </w:r>
        <w:r w:rsidR="00DB6D2E">
          <w:rPr>
            <w:noProof/>
            <w:webHidden/>
          </w:rPr>
          <w:fldChar w:fldCharType="begin"/>
        </w:r>
        <w:r w:rsidR="00DB6D2E">
          <w:rPr>
            <w:noProof/>
            <w:webHidden/>
          </w:rPr>
          <w:instrText xml:space="preserve"> PAGEREF _Toc54863493 \h </w:instrText>
        </w:r>
        <w:r w:rsidR="00DB6D2E">
          <w:rPr>
            <w:noProof/>
            <w:webHidden/>
          </w:rPr>
        </w:r>
        <w:r w:rsidR="00DB6D2E">
          <w:rPr>
            <w:noProof/>
            <w:webHidden/>
          </w:rPr>
          <w:fldChar w:fldCharType="separate"/>
        </w:r>
        <w:r w:rsidR="00DB6D2E">
          <w:rPr>
            <w:noProof/>
            <w:webHidden/>
          </w:rPr>
          <w:t>8</w:t>
        </w:r>
        <w:r w:rsidR="00DB6D2E">
          <w:rPr>
            <w:noProof/>
            <w:webHidden/>
          </w:rPr>
          <w:fldChar w:fldCharType="end"/>
        </w:r>
      </w:hyperlink>
    </w:p>
    <w:p w14:paraId="68532B89" w14:textId="3FB29537" w:rsidR="00DB6D2E" w:rsidRDefault="00C2473B">
      <w:pPr>
        <w:pStyle w:val="TOC4"/>
        <w:tabs>
          <w:tab w:val="right" w:leader="dot" w:pos="5030"/>
        </w:tabs>
        <w:rPr>
          <w:rFonts w:eastAsiaTheme="minorEastAsia"/>
          <w:smallCaps w:val="0"/>
          <w:noProof/>
          <w:sz w:val="22"/>
          <w:lang w:val="en-US" w:eastAsia="en-US" w:bidi="ar-SA"/>
        </w:rPr>
      </w:pPr>
      <w:hyperlink w:anchor="_Toc54863494" w:history="1">
        <w:r w:rsidR="00DB6D2E" w:rsidRPr="0095336D">
          <w:rPr>
            <w:rStyle w:val="Hyperlink"/>
            <w:noProof/>
          </w:rPr>
          <w:t>Dynamics 365 Remote Assist</w:t>
        </w:r>
        <w:r w:rsidR="00DB6D2E">
          <w:rPr>
            <w:noProof/>
            <w:webHidden/>
          </w:rPr>
          <w:tab/>
        </w:r>
        <w:r w:rsidR="00DB6D2E">
          <w:rPr>
            <w:noProof/>
            <w:webHidden/>
          </w:rPr>
          <w:fldChar w:fldCharType="begin"/>
        </w:r>
        <w:r w:rsidR="00DB6D2E">
          <w:rPr>
            <w:noProof/>
            <w:webHidden/>
          </w:rPr>
          <w:instrText xml:space="preserve"> PAGEREF _Toc54863494 \h </w:instrText>
        </w:r>
        <w:r w:rsidR="00DB6D2E">
          <w:rPr>
            <w:noProof/>
            <w:webHidden/>
          </w:rPr>
        </w:r>
        <w:r w:rsidR="00DB6D2E">
          <w:rPr>
            <w:noProof/>
            <w:webHidden/>
          </w:rPr>
          <w:fldChar w:fldCharType="separate"/>
        </w:r>
        <w:r w:rsidR="00DB6D2E">
          <w:rPr>
            <w:noProof/>
            <w:webHidden/>
          </w:rPr>
          <w:t>8</w:t>
        </w:r>
        <w:r w:rsidR="00DB6D2E">
          <w:rPr>
            <w:noProof/>
            <w:webHidden/>
          </w:rPr>
          <w:fldChar w:fldCharType="end"/>
        </w:r>
      </w:hyperlink>
    </w:p>
    <w:p w14:paraId="59BA03AE" w14:textId="7A39DE62" w:rsidR="00DB6D2E" w:rsidRDefault="00C2473B">
      <w:pPr>
        <w:pStyle w:val="TOC4"/>
        <w:tabs>
          <w:tab w:val="right" w:leader="dot" w:pos="5030"/>
        </w:tabs>
        <w:rPr>
          <w:rFonts w:eastAsiaTheme="minorEastAsia"/>
          <w:smallCaps w:val="0"/>
          <w:noProof/>
          <w:sz w:val="22"/>
          <w:lang w:val="en-US" w:eastAsia="en-US" w:bidi="ar-SA"/>
        </w:rPr>
      </w:pPr>
      <w:hyperlink w:anchor="_Toc54863495" w:history="1">
        <w:r w:rsidR="00DB6D2E" w:rsidRPr="0095336D">
          <w:rPr>
            <w:rStyle w:val="Hyperlink"/>
            <w:noProof/>
          </w:rPr>
          <w:t>Dynamics 365 Sales Enterprise; Dynamics 365 Sales Professional</w:t>
        </w:r>
        <w:r w:rsidR="00DB6D2E">
          <w:rPr>
            <w:noProof/>
            <w:webHidden/>
          </w:rPr>
          <w:tab/>
        </w:r>
        <w:r w:rsidR="00DB6D2E">
          <w:rPr>
            <w:noProof/>
            <w:webHidden/>
          </w:rPr>
          <w:fldChar w:fldCharType="begin"/>
        </w:r>
        <w:r w:rsidR="00DB6D2E">
          <w:rPr>
            <w:noProof/>
            <w:webHidden/>
          </w:rPr>
          <w:instrText xml:space="preserve"> PAGEREF _Toc54863495 \h </w:instrText>
        </w:r>
        <w:r w:rsidR="00DB6D2E">
          <w:rPr>
            <w:noProof/>
            <w:webHidden/>
          </w:rPr>
        </w:r>
        <w:r w:rsidR="00DB6D2E">
          <w:rPr>
            <w:noProof/>
            <w:webHidden/>
          </w:rPr>
          <w:fldChar w:fldCharType="separate"/>
        </w:r>
        <w:r w:rsidR="00DB6D2E">
          <w:rPr>
            <w:noProof/>
            <w:webHidden/>
          </w:rPr>
          <w:t>9</w:t>
        </w:r>
        <w:r w:rsidR="00DB6D2E">
          <w:rPr>
            <w:noProof/>
            <w:webHidden/>
          </w:rPr>
          <w:fldChar w:fldCharType="end"/>
        </w:r>
      </w:hyperlink>
    </w:p>
    <w:p w14:paraId="502C0D0A" w14:textId="56E558AB" w:rsidR="00DB6D2E" w:rsidRDefault="00C2473B">
      <w:pPr>
        <w:pStyle w:val="TOC4"/>
        <w:tabs>
          <w:tab w:val="right" w:leader="dot" w:pos="5030"/>
        </w:tabs>
        <w:rPr>
          <w:rFonts w:eastAsiaTheme="minorEastAsia"/>
          <w:smallCaps w:val="0"/>
          <w:noProof/>
          <w:sz w:val="22"/>
          <w:lang w:val="en-US" w:eastAsia="en-US" w:bidi="ar-SA"/>
        </w:rPr>
      </w:pPr>
      <w:hyperlink w:anchor="_Toc54863496" w:history="1">
        <w:r w:rsidR="00DB6D2E" w:rsidRPr="0095336D">
          <w:rPr>
            <w:rStyle w:val="Hyperlink"/>
            <w:noProof/>
          </w:rPr>
          <w:t>Dynamics 365 Supply Chain Management; Dynamics 365 Finance</w:t>
        </w:r>
        <w:r w:rsidR="00DB6D2E" w:rsidRPr="0095336D">
          <w:rPr>
            <w:rStyle w:val="Hyperlink"/>
            <w:noProof/>
            <w:lang w:val="en-US"/>
          </w:rPr>
          <w:t>; Dynamics 365 Project Operations</w:t>
        </w:r>
        <w:r w:rsidR="00DB6D2E">
          <w:rPr>
            <w:noProof/>
            <w:webHidden/>
          </w:rPr>
          <w:tab/>
        </w:r>
        <w:r w:rsidR="00DB6D2E">
          <w:rPr>
            <w:noProof/>
            <w:webHidden/>
          </w:rPr>
          <w:fldChar w:fldCharType="begin"/>
        </w:r>
        <w:r w:rsidR="00DB6D2E">
          <w:rPr>
            <w:noProof/>
            <w:webHidden/>
          </w:rPr>
          <w:instrText xml:space="preserve"> PAGEREF _Toc54863496 \h </w:instrText>
        </w:r>
        <w:r w:rsidR="00DB6D2E">
          <w:rPr>
            <w:noProof/>
            <w:webHidden/>
          </w:rPr>
        </w:r>
        <w:r w:rsidR="00DB6D2E">
          <w:rPr>
            <w:noProof/>
            <w:webHidden/>
          </w:rPr>
          <w:fldChar w:fldCharType="separate"/>
        </w:r>
        <w:r w:rsidR="00DB6D2E">
          <w:rPr>
            <w:noProof/>
            <w:webHidden/>
          </w:rPr>
          <w:t>9</w:t>
        </w:r>
        <w:r w:rsidR="00DB6D2E">
          <w:rPr>
            <w:noProof/>
            <w:webHidden/>
          </w:rPr>
          <w:fldChar w:fldCharType="end"/>
        </w:r>
      </w:hyperlink>
    </w:p>
    <w:p w14:paraId="44FD28E0" w14:textId="6C2A9455" w:rsidR="00DB6D2E" w:rsidRDefault="00C2473B">
      <w:pPr>
        <w:pStyle w:val="TOC2"/>
        <w:tabs>
          <w:tab w:val="right" w:leader="dot" w:pos="5030"/>
        </w:tabs>
        <w:rPr>
          <w:rFonts w:eastAsiaTheme="minorEastAsia"/>
          <w:b w:val="0"/>
          <w:smallCaps w:val="0"/>
          <w:noProof/>
          <w:sz w:val="22"/>
          <w:lang w:val="en-US" w:eastAsia="en-US" w:bidi="ar-SA"/>
        </w:rPr>
      </w:pPr>
      <w:hyperlink w:anchor="_Toc54863497" w:history="1">
        <w:r w:rsidR="00DB6D2E" w:rsidRPr="0095336D">
          <w:rPr>
            <w:rStyle w:val="Hyperlink"/>
            <w:noProof/>
          </w:rPr>
          <w:t>Služby Office 365</w:t>
        </w:r>
        <w:r w:rsidR="00DB6D2E">
          <w:rPr>
            <w:noProof/>
            <w:webHidden/>
          </w:rPr>
          <w:tab/>
        </w:r>
        <w:r w:rsidR="00DB6D2E">
          <w:rPr>
            <w:noProof/>
            <w:webHidden/>
          </w:rPr>
          <w:fldChar w:fldCharType="begin"/>
        </w:r>
        <w:r w:rsidR="00DB6D2E">
          <w:rPr>
            <w:noProof/>
            <w:webHidden/>
          </w:rPr>
          <w:instrText xml:space="preserve"> PAGEREF _Toc54863497 \h </w:instrText>
        </w:r>
        <w:r w:rsidR="00DB6D2E">
          <w:rPr>
            <w:noProof/>
            <w:webHidden/>
          </w:rPr>
        </w:r>
        <w:r w:rsidR="00DB6D2E">
          <w:rPr>
            <w:noProof/>
            <w:webHidden/>
          </w:rPr>
          <w:fldChar w:fldCharType="separate"/>
        </w:r>
        <w:r w:rsidR="00DB6D2E">
          <w:rPr>
            <w:noProof/>
            <w:webHidden/>
          </w:rPr>
          <w:t>10</w:t>
        </w:r>
        <w:r w:rsidR="00DB6D2E">
          <w:rPr>
            <w:noProof/>
            <w:webHidden/>
          </w:rPr>
          <w:fldChar w:fldCharType="end"/>
        </w:r>
      </w:hyperlink>
    </w:p>
    <w:p w14:paraId="3F15F6F6" w14:textId="654D6947" w:rsidR="00DB6D2E" w:rsidRDefault="00C2473B">
      <w:pPr>
        <w:pStyle w:val="TOC4"/>
        <w:tabs>
          <w:tab w:val="right" w:leader="dot" w:pos="5030"/>
        </w:tabs>
        <w:rPr>
          <w:rFonts w:eastAsiaTheme="minorEastAsia"/>
          <w:smallCaps w:val="0"/>
          <w:noProof/>
          <w:sz w:val="22"/>
          <w:lang w:val="en-US" w:eastAsia="en-US" w:bidi="ar-SA"/>
        </w:rPr>
      </w:pPr>
      <w:hyperlink w:anchor="_Toc54863498" w:history="1">
        <w:r w:rsidR="00DB6D2E" w:rsidRPr="0095336D">
          <w:rPr>
            <w:rStyle w:val="Hyperlink"/>
            <w:noProof/>
          </w:rPr>
          <w:t>Duet Enterprise Online</w:t>
        </w:r>
        <w:r w:rsidR="00DB6D2E">
          <w:rPr>
            <w:noProof/>
            <w:webHidden/>
          </w:rPr>
          <w:tab/>
        </w:r>
        <w:r w:rsidR="00DB6D2E">
          <w:rPr>
            <w:noProof/>
            <w:webHidden/>
          </w:rPr>
          <w:fldChar w:fldCharType="begin"/>
        </w:r>
        <w:r w:rsidR="00DB6D2E">
          <w:rPr>
            <w:noProof/>
            <w:webHidden/>
          </w:rPr>
          <w:instrText xml:space="preserve"> PAGEREF _Toc54863498 \h </w:instrText>
        </w:r>
        <w:r w:rsidR="00DB6D2E">
          <w:rPr>
            <w:noProof/>
            <w:webHidden/>
          </w:rPr>
        </w:r>
        <w:r w:rsidR="00DB6D2E">
          <w:rPr>
            <w:noProof/>
            <w:webHidden/>
          </w:rPr>
          <w:fldChar w:fldCharType="separate"/>
        </w:r>
        <w:r w:rsidR="00DB6D2E">
          <w:rPr>
            <w:noProof/>
            <w:webHidden/>
          </w:rPr>
          <w:t>10</w:t>
        </w:r>
        <w:r w:rsidR="00DB6D2E">
          <w:rPr>
            <w:noProof/>
            <w:webHidden/>
          </w:rPr>
          <w:fldChar w:fldCharType="end"/>
        </w:r>
      </w:hyperlink>
    </w:p>
    <w:p w14:paraId="48B01030" w14:textId="7BFF34C1" w:rsidR="00DB6D2E" w:rsidRDefault="00C2473B">
      <w:pPr>
        <w:pStyle w:val="TOC4"/>
        <w:tabs>
          <w:tab w:val="right" w:leader="dot" w:pos="5030"/>
        </w:tabs>
        <w:rPr>
          <w:rFonts w:eastAsiaTheme="minorEastAsia"/>
          <w:smallCaps w:val="0"/>
          <w:noProof/>
          <w:sz w:val="22"/>
          <w:lang w:val="en-US" w:eastAsia="en-US" w:bidi="ar-SA"/>
        </w:rPr>
      </w:pPr>
      <w:hyperlink w:anchor="_Toc54863499" w:history="1">
        <w:r w:rsidR="00DB6D2E" w:rsidRPr="0095336D">
          <w:rPr>
            <w:rStyle w:val="Hyperlink"/>
            <w:noProof/>
          </w:rPr>
          <w:t>Exchange Online</w:t>
        </w:r>
        <w:r w:rsidR="00DB6D2E">
          <w:rPr>
            <w:noProof/>
            <w:webHidden/>
          </w:rPr>
          <w:tab/>
        </w:r>
        <w:r w:rsidR="00DB6D2E">
          <w:rPr>
            <w:noProof/>
            <w:webHidden/>
          </w:rPr>
          <w:fldChar w:fldCharType="begin"/>
        </w:r>
        <w:r w:rsidR="00DB6D2E">
          <w:rPr>
            <w:noProof/>
            <w:webHidden/>
          </w:rPr>
          <w:instrText xml:space="preserve"> PAGEREF _Toc54863499 \h </w:instrText>
        </w:r>
        <w:r w:rsidR="00DB6D2E">
          <w:rPr>
            <w:noProof/>
            <w:webHidden/>
          </w:rPr>
        </w:r>
        <w:r w:rsidR="00DB6D2E">
          <w:rPr>
            <w:noProof/>
            <w:webHidden/>
          </w:rPr>
          <w:fldChar w:fldCharType="separate"/>
        </w:r>
        <w:r w:rsidR="00DB6D2E">
          <w:rPr>
            <w:noProof/>
            <w:webHidden/>
          </w:rPr>
          <w:t>10</w:t>
        </w:r>
        <w:r w:rsidR="00DB6D2E">
          <w:rPr>
            <w:noProof/>
            <w:webHidden/>
          </w:rPr>
          <w:fldChar w:fldCharType="end"/>
        </w:r>
      </w:hyperlink>
    </w:p>
    <w:p w14:paraId="2569CC98" w14:textId="5DEAD99C" w:rsidR="00DB6D2E" w:rsidRDefault="00C2473B">
      <w:pPr>
        <w:pStyle w:val="TOC4"/>
        <w:tabs>
          <w:tab w:val="right" w:leader="dot" w:pos="5030"/>
        </w:tabs>
        <w:rPr>
          <w:rFonts w:eastAsiaTheme="minorEastAsia"/>
          <w:smallCaps w:val="0"/>
          <w:noProof/>
          <w:sz w:val="22"/>
          <w:lang w:val="en-US" w:eastAsia="en-US" w:bidi="ar-SA"/>
        </w:rPr>
      </w:pPr>
      <w:hyperlink w:anchor="_Toc54863500" w:history="1">
        <w:r w:rsidR="00DB6D2E" w:rsidRPr="0095336D">
          <w:rPr>
            <w:rStyle w:val="Hyperlink"/>
            <w:noProof/>
          </w:rPr>
          <w:t>Exchange Online Archiving</w:t>
        </w:r>
        <w:r w:rsidR="00DB6D2E">
          <w:rPr>
            <w:noProof/>
            <w:webHidden/>
          </w:rPr>
          <w:tab/>
        </w:r>
        <w:r w:rsidR="00DB6D2E">
          <w:rPr>
            <w:noProof/>
            <w:webHidden/>
          </w:rPr>
          <w:fldChar w:fldCharType="begin"/>
        </w:r>
        <w:r w:rsidR="00DB6D2E">
          <w:rPr>
            <w:noProof/>
            <w:webHidden/>
          </w:rPr>
          <w:instrText xml:space="preserve"> PAGEREF _Toc54863500 \h </w:instrText>
        </w:r>
        <w:r w:rsidR="00DB6D2E">
          <w:rPr>
            <w:noProof/>
            <w:webHidden/>
          </w:rPr>
        </w:r>
        <w:r w:rsidR="00DB6D2E">
          <w:rPr>
            <w:noProof/>
            <w:webHidden/>
          </w:rPr>
          <w:fldChar w:fldCharType="separate"/>
        </w:r>
        <w:r w:rsidR="00DB6D2E">
          <w:rPr>
            <w:noProof/>
            <w:webHidden/>
          </w:rPr>
          <w:t>11</w:t>
        </w:r>
        <w:r w:rsidR="00DB6D2E">
          <w:rPr>
            <w:noProof/>
            <w:webHidden/>
          </w:rPr>
          <w:fldChar w:fldCharType="end"/>
        </w:r>
      </w:hyperlink>
    </w:p>
    <w:p w14:paraId="66DA9DD0" w14:textId="1EFB4474" w:rsidR="00DB6D2E" w:rsidRDefault="00C2473B">
      <w:pPr>
        <w:pStyle w:val="TOC4"/>
        <w:tabs>
          <w:tab w:val="right" w:leader="dot" w:pos="5030"/>
        </w:tabs>
        <w:rPr>
          <w:rFonts w:eastAsiaTheme="minorEastAsia"/>
          <w:smallCaps w:val="0"/>
          <w:noProof/>
          <w:sz w:val="22"/>
          <w:lang w:val="en-US" w:eastAsia="en-US" w:bidi="ar-SA"/>
        </w:rPr>
      </w:pPr>
      <w:hyperlink w:anchor="_Toc54863501" w:history="1">
        <w:r w:rsidR="00DB6D2E" w:rsidRPr="0095336D">
          <w:rPr>
            <w:rStyle w:val="Hyperlink"/>
            <w:noProof/>
          </w:rPr>
          <w:t>Exchange Online Protection</w:t>
        </w:r>
        <w:r w:rsidR="00DB6D2E">
          <w:rPr>
            <w:noProof/>
            <w:webHidden/>
          </w:rPr>
          <w:tab/>
        </w:r>
        <w:r w:rsidR="00DB6D2E">
          <w:rPr>
            <w:noProof/>
            <w:webHidden/>
          </w:rPr>
          <w:fldChar w:fldCharType="begin"/>
        </w:r>
        <w:r w:rsidR="00DB6D2E">
          <w:rPr>
            <w:noProof/>
            <w:webHidden/>
          </w:rPr>
          <w:instrText xml:space="preserve"> PAGEREF _Toc54863501 \h </w:instrText>
        </w:r>
        <w:r w:rsidR="00DB6D2E">
          <w:rPr>
            <w:noProof/>
            <w:webHidden/>
          </w:rPr>
        </w:r>
        <w:r w:rsidR="00DB6D2E">
          <w:rPr>
            <w:noProof/>
            <w:webHidden/>
          </w:rPr>
          <w:fldChar w:fldCharType="separate"/>
        </w:r>
        <w:r w:rsidR="00DB6D2E">
          <w:rPr>
            <w:noProof/>
            <w:webHidden/>
          </w:rPr>
          <w:t>11</w:t>
        </w:r>
        <w:r w:rsidR="00DB6D2E">
          <w:rPr>
            <w:noProof/>
            <w:webHidden/>
          </w:rPr>
          <w:fldChar w:fldCharType="end"/>
        </w:r>
      </w:hyperlink>
    </w:p>
    <w:p w14:paraId="6BE5100C" w14:textId="0B5456CB" w:rsidR="00DB6D2E" w:rsidRDefault="00C2473B">
      <w:pPr>
        <w:pStyle w:val="TOC4"/>
        <w:tabs>
          <w:tab w:val="right" w:leader="dot" w:pos="5030"/>
        </w:tabs>
        <w:rPr>
          <w:rFonts w:eastAsiaTheme="minorEastAsia"/>
          <w:smallCaps w:val="0"/>
          <w:noProof/>
          <w:sz w:val="22"/>
          <w:lang w:val="en-US" w:eastAsia="en-US" w:bidi="ar-SA"/>
        </w:rPr>
      </w:pPr>
      <w:hyperlink w:anchor="_Toc54863502" w:history="1">
        <w:r w:rsidR="00DB6D2E" w:rsidRPr="0095336D">
          <w:rPr>
            <w:rStyle w:val="Hyperlink"/>
            <w:noProof/>
          </w:rPr>
          <w:t>Microsoft MyAnalytics</w:t>
        </w:r>
        <w:r w:rsidR="00DB6D2E">
          <w:rPr>
            <w:noProof/>
            <w:webHidden/>
          </w:rPr>
          <w:tab/>
        </w:r>
        <w:r w:rsidR="00DB6D2E">
          <w:rPr>
            <w:noProof/>
            <w:webHidden/>
          </w:rPr>
          <w:fldChar w:fldCharType="begin"/>
        </w:r>
        <w:r w:rsidR="00DB6D2E">
          <w:rPr>
            <w:noProof/>
            <w:webHidden/>
          </w:rPr>
          <w:instrText xml:space="preserve"> PAGEREF _Toc54863502 \h </w:instrText>
        </w:r>
        <w:r w:rsidR="00DB6D2E">
          <w:rPr>
            <w:noProof/>
            <w:webHidden/>
          </w:rPr>
        </w:r>
        <w:r w:rsidR="00DB6D2E">
          <w:rPr>
            <w:noProof/>
            <w:webHidden/>
          </w:rPr>
          <w:fldChar w:fldCharType="separate"/>
        </w:r>
        <w:r w:rsidR="00DB6D2E">
          <w:rPr>
            <w:noProof/>
            <w:webHidden/>
          </w:rPr>
          <w:t>11</w:t>
        </w:r>
        <w:r w:rsidR="00DB6D2E">
          <w:rPr>
            <w:noProof/>
            <w:webHidden/>
          </w:rPr>
          <w:fldChar w:fldCharType="end"/>
        </w:r>
      </w:hyperlink>
    </w:p>
    <w:p w14:paraId="4DA5943E" w14:textId="255B2C1F" w:rsidR="00DB6D2E" w:rsidRDefault="00C2473B">
      <w:pPr>
        <w:pStyle w:val="TOC4"/>
        <w:tabs>
          <w:tab w:val="right" w:leader="dot" w:pos="5030"/>
        </w:tabs>
        <w:rPr>
          <w:rFonts w:eastAsiaTheme="minorEastAsia"/>
          <w:smallCaps w:val="0"/>
          <w:noProof/>
          <w:sz w:val="22"/>
          <w:lang w:val="en-US" w:eastAsia="en-US" w:bidi="ar-SA"/>
        </w:rPr>
      </w:pPr>
      <w:hyperlink w:anchor="_Toc54863503" w:history="1">
        <w:r w:rsidR="00DB6D2E" w:rsidRPr="0095336D">
          <w:rPr>
            <w:rStyle w:val="Hyperlink"/>
            <w:noProof/>
          </w:rPr>
          <w:t>Microsoft Stream</w:t>
        </w:r>
        <w:r w:rsidR="00DB6D2E">
          <w:rPr>
            <w:noProof/>
            <w:webHidden/>
          </w:rPr>
          <w:tab/>
        </w:r>
        <w:r w:rsidR="00DB6D2E">
          <w:rPr>
            <w:noProof/>
            <w:webHidden/>
          </w:rPr>
          <w:fldChar w:fldCharType="begin"/>
        </w:r>
        <w:r w:rsidR="00DB6D2E">
          <w:rPr>
            <w:noProof/>
            <w:webHidden/>
          </w:rPr>
          <w:instrText xml:space="preserve"> PAGEREF _Toc54863503 \h </w:instrText>
        </w:r>
        <w:r w:rsidR="00DB6D2E">
          <w:rPr>
            <w:noProof/>
            <w:webHidden/>
          </w:rPr>
        </w:r>
        <w:r w:rsidR="00DB6D2E">
          <w:rPr>
            <w:noProof/>
            <w:webHidden/>
          </w:rPr>
          <w:fldChar w:fldCharType="separate"/>
        </w:r>
        <w:r w:rsidR="00DB6D2E">
          <w:rPr>
            <w:noProof/>
            <w:webHidden/>
          </w:rPr>
          <w:t>12</w:t>
        </w:r>
        <w:r w:rsidR="00DB6D2E">
          <w:rPr>
            <w:noProof/>
            <w:webHidden/>
          </w:rPr>
          <w:fldChar w:fldCharType="end"/>
        </w:r>
      </w:hyperlink>
    </w:p>
    <w:p w14:paraId="64350056" w14:textId="6A25C6DA" w:rsidR="00DB6D2E" w:rsidRDefault="00C2473B">
      <w:pPr>
        <w:pStyle w:val="TOC4"/>
        <w:tabs>
          <w:tab w:val="right" w:leader="dot" w:pos="5030"/>
        </w:tabs>
        <w:rPr>
          <w:rFonts w:eastAsiaTheme="minorEastAsia"/>
          <w:smallCaps w:val="0"/>
          <w:noProof/>
          <w:sz w:val="22"/>
          <w:lang w:val="en-US" w:eastAsia="en-US" w:bidi="ar-SA"/>
        </w:rPr>
      </w:pPr>
      <w:hyperlink w:anchor="_Toc54863504" w:history="1">
        <w:r w:rsidR="00DB6D2E" w:rsidRPr="0095336D">
          <w:rPr>
            <w:rStyle w:val="Hyperlink"/>
            <w:noProof/>
          </w:rPr>
          <w:t>Microsoft Teams</w:t>
        </w:r>
        <w:r w:rsidR="00DB6D2E">
          <w:rPr>
            <w:noProof/>
            <w:webHidden/>
          </w:rPr>
          <w:tab/>
        </w:r>
        <w:r w:rsidR="00DB6D2E">
          <w:rPr>
            <w:noProof/>
            <w:webHidden/>
          </w:rPr>
          <w:fldChar w:fldCharType="begin"/>
        </w:r>
        <w:r w:rsidR="00DB6D2E">
          <w:rPr>
            <w:noProof/>
            <w:webHidden/>
          </w:rPr>
          <w:instrText xml:space="preserve"> PAGEREF _Toc54863504 \h </w:instrText>
        </w:r>
        <w:r w:rsidR="00DB6D2E">
          <w:rPr>
            <w:noProof/>
            <w:webHidden/>
          </w:rPr>
        </w:r>
        <w:r w:rsidR="00DB6D2E">
          <w:rPr>
            <w:noProof/>
            <w:webHidden/>
          </w:rPr>
          <w:fldChar w:fldCharType="separate"/>
        </w:r>
        <w:r w:rsidR="00DB6D2E">
          <w:rPr>
            <w:noProof/>
            <w:webHidden/>
          </w:rPr>
          <w:t>12</w:t>
        </w:r>
        <w:r w:rsidR="00DB6D2E">
          <w:rPr>
            <w:noProof/>
            <w:webHidden/>
          </w:rPr>
          <w:fldChar w:fldCharType="end"/>
        </w:r>
      </w:hyperlink>
    </w:p>
    <w:p w14:paraId="605AE012" w14:textId="23097491" w:rsidR="00DB6D2E" w:rsidRDefault="00C2473B">
      <w:pPr>
        <w:pStyle w:val="TOC4"/>
        <w:tabs>
          <w:tab w:val="right" w:leader="dot" w:pos="5030"/>
        </w:tabs>
        <w:rPr>
          <w:rFonts w:eastAsiaTheme="minorEastAsia"/>
          <w:smallCaps w:val="0"/>
          <w:noProof/>
          <w:sz w:val="22"/>
          <w:lang w:val="en-US" w:eastAsia="en-US" w:bidi="ar-SA"/>
        </w:rPr>
      </w:pPr>
      <w:hyperlink w:anchor="_Toc54863505" w:history="1">
        <w:r w:rsidR="00DB6D2E" w:rsidRPr="0095336D">
          <w:rPr>
            <w:rStyle w:val="Hyperlink"/>
            <w:noProof/>
          </w:rPr>
          <w:t>Microsoft 365 Apps for business</w:t>
        </w:r>
        <w:r w:rsidR="00DB6D2E">
          <w:rPr>
            <w:noProof/>
            <w:webHidden/>
          </w:rPr>
          <w:tab/>
        </w:r>
        <w:r w:rsidR="00DB6D2E">
          <w:rPr>
            <w:noProof/>
            <w:webHidden/>
          </w:rPr>
          <w:fldChar w:fldCharType="begin"/>
        </w:r>
        <w:r w:rsidR="00DB6D2E">
          <w:rPr>
            <w:noProof/>
            <w:webHidden/>
          </w:rPr>
          <w:instrText xml:space="preserve"> PAGEREF _Toc54863505 \h </w:instrText>
        </w:r>
        <w:r w:rsidR="00DB6D2E">
          <w:rPr>
            <w:noProof/>
            <w:webHidden/>
          </w:rPr>
        </w:r>
        <w:r w:rsidR="00DB6D2E">
          <w:rPr>
            <w:noProof/>
            <w:webHidden/>
          </w:rPr>
          <w:fldChar w:fldCharType="separate"/>
        </w:r>
        <w:r w:rsidR="00DB6D2E">
          <w:rPr>
            <w:noProof/>
            <w:webHidden/>
          </w:rPr>
          <w:t>13</w:t>
        </w:r>
        <w:r w:rsidR="00DB6D2E">
          <w:rPr>
            <w:noProof/>
            <w:webHidden/>
          </w:rPr>
          <w:fldChar w:fldCharType="end"/>
        </w:r>
      </w:hyperlink>
    </w:p>
    <w:p w14:paraId="195303E9" w14:textId="49D48FD7" w:rsidR="00DB6D2E" w:rsidRDefault="00C2473B">
      <w:pPr>
        <w:pStyle w:val="TOC4"/>
        <w:tabs>
          <w:tab w:val="right" w:leader="dot" w:pos="5030"/>
        </w:tabs>
        <w:rPr>
          <w:rFonts w:eastAsiaTheme="minorEastAsia"/>
          <w:smallCaps w:val="0"/>
          <w:noProof/>
          <w:sz w:val="22"/>
          <w:lang w:val="en-US" w:eastAsia="en-US" w:bidi="ar-SA"/>
        </w:rPr>
      </w:pPr>
      <w:hyperlink w:anchor="_Toc54863506" w:history="1">
        <w:r w:rsidR="00DB6D2E" w:rsidRPr="0095336D">
          <w:rPr>
            <w:rStyle w:val="Hyperlink"/>
            <w:noProof/>
          </w:rPr>
          <w:t>Microsoft 365 Apps for enterprise</w:t>
        </w:r>
        <w:r w:rsidR="00DB6D2E">
          <w:rPr>
            <w:noProof/>
            <w:webHidden/>
          </w:rPr>
          <w:tab/>
        </w:r>
        <w:r w:rsidR="00DB6D2E">
          <w:rPr>
            <w:noProof/>
            <w:webHidden/>
          </w:rPr>
          <w:fldChar w:fldCharType="begin"/>
        </w:r>
        <w:r w:rsidR="00DB6D2E">
          <w:rPr>
            <w:noProof/>
            <w:webHidden/>
          </w:rPr>
          <w:instrText xml:space="preserve"> PAGEREF _Toc54863506 \h </w:instrText>
        </w:r>
        <w:r w:rsidR="00DB6D2E">
          <w:rPr>
            <w:noProof/>
            <w:webHidden/>
          </w:rPr>
        </w:r>
        <w:r w:rsidR="00DB6D2E">
          <w:rPr>
            <w:noProof/>
            <w:webHidden/>
          </w:rPr>
          <w:fldChar w:fldCharType="separate"/>
        </w:r>
        <w:r w:rsidR="00DB6D2E">
          <w:rPr>
            <w:noProof/>
            <w:webHidden/>
          </w:rPr>
          <w:t>13</w:t>
        </w:r>
        <w:r w:rsidR="00DB6D2E">
          <w:rPr>
            <w:noProof/>
            <w:webHidden/>
          </w:rPr>
          <w:fldChar w:fldCharType="end"/>
        </w:r>
      </w:hyperlink>
    </w:p>
    <w:p w14:paraId="20C9AE4E" w14:textId="4F023D84" w:rsidR="00DB6D2E" w:rsidRDefault="00C2473B">
      <w:pPr>
        <w:pStyle w:val="TOC4"/>
        <w:tabs>
          <w:tab w:val="right" w:leader="dot" w:pos="5030"/>
        </w:tabs>
        <w:rPr>
          <w:rFonts w:eastAsiaTheme="minorEastAsia"/>
          <w:smallCaps w:val="0"/>
          <w:noProof/>
          <w:sz w:val="22"/>
          <w:lang w:val="en-US" w:eastAsia="en-US" w:bidi="ar-SA"/>
        </w:rPr>
      </w:pPr>
      <w:hyperlink w:anchor="_Toc54863507" w:history="1">
        <w:r w:rsidR="00DB6D2E" w:rsidRPr="0095336D">
          <w:rPr>
            <w:rStyle w:val="Hyperlink"/>
            <w:noProof/>
          </w:rPr>
          <w:t>Office 365 Advanced Compliance</w:t>
        </w:r>
        <w:r w:rsidR="00DB6D2E">
          <w:rPr>
            <w:noProof/>
            <w:webHidden/>
          </w:rPr>
          <w:tab/>
        </w:r>
        <w:r w:rsidR="00DB6D2E">
          <w:rPr>
            <w:noProof/>
            <w:webHidden/>
          </w:rPr>
          <w:fldChar w:fldCharType="begin"/>
        </w:r>
        <w:r w:rsidR="00DB6D2E">
          <w:rPr>
            <w:noProof/>
            <w:webHidden/>
          </w:rPr>
          <w:instrText xml:space="preserve"> PAGEREF _Toc54863507 \h </w:instrText>
        </w:r>
        <w:r w:rsidR="00DB6D2E">
          <w:rPr>
            <w:noProof/>
            <w:webHidden/>
          </w:rPr>
        </w:r>
        <w:r w:rsidR="00DB6D2E">
          <w:rPr>
            <w:noProof/>
            <w:webHidden/>
          </w:rPr>
          <w:fldChar w:fldCharType="separate"/>
        </w:r>
        <w:r w:rsidR="00DB6D2E">
          <w:rPr>
            <w:noProof/>
            <w:webHidden/>
          </w:rPr>
          <w:t>13</w:t>
        </w:r>
        <w:r w:rsidR="00DB6D2E">
          <w:rPr>
            <w:noProof/>
            <w:webHidden/>
          </w:rPr>
          <w:fldChar w:fldCharType="end"/>
        </w:r>
      </w:hyperlink>
    </w:p>
    <w:p w14:paraId="7430A3B3" w14:textId="74664175" w:rsidR="00DB6D2E" w:rsidRDefault="00C2473B">
      <w:pPr>
        <w:pStyle w:val="TOC4"/>
        <w:tabs>
          <w:tab w:val="right" w:leader="dot" w:pos="5030"/>
        </w:tabs>
        <w:rPr>
          <w:rFonts w:eastAsiaTheme="minorEastAsia"/>
          <w:smallCaps w:val="0"/>
          <w:noProof/>
          <w:sz w:val="22"/>
          <w:lang w:val="en-US" w:eastAsia="en-US" w:bidi="ar-SA"/>
        </w:rPr>
      </w:pPr>
      <w:hyperlink w:anchor="_Toc54863508" w:history="1">
        <w:r w:rsidR="00DB6D2E" w:rsidRPr="0095336D">
          <w:rPr>
            <w:rStyle w:val="Hyperlink"/>
            <w:noProof/>
          </w:rPr>
          <w:t>Office Online</w:t>
        </w:r>
        <w:r w:rsidR="00DB6D2E">
          <w:rPr>
            <w:noProof/>
            <w:webHidden/>
          </w:rPr>
          <w:tab/>
        </w:r>
        <w:r w:rsidR="00DB6D2E">
          <w:rPr>
            <w:noProof/>
            <w:webHidden/>
          </w:rPr>
          <w:fldChar w:fldCharType="begin"/>
        </w:r>
        <w:r w:rsidR="00DB6D2E">
          <w:rPr>
            <w:noProof/>
            <w:webHidden/>
          </w:rPr>
          <w:instrText xml:space="preserve"> PAGEREF _Toc54863508 \h </w:instrText>
        </w:r>
        <w:r w:rsidR="00DB6D2E">
          <w:rPr>
            <w:noProof/>
            <w:webHidden/>
          </w:rPr>
        </w:r>
        <w:r w:rsidR="00DB6D2E">
          <w:rPr>
            <w:noProof/>
            <w:webHidden/>
          </w:rPr>
          <w:fldChar w:fldCharType="separate"/>
        </w:r>
        <w:r w:rsidR="00DB6D2E">
          <w:rPr>
            <w:noProof/>
            <w:webHidden/>
          </w:rPr>
          <w:t>14</w:t>
        </w:r>
        <w:r w:rsidR="00DB6D2E">
          <w:rPr>
            <w:noProof/>
            <w:webHidden/>
          </w:rPr>
          <w:fldChar w:fldCharType="end"/>
        </w:r>
      </w:hyperlink>
    </w:p>
    <w:p w14:paraId="0905012B" w14:textId="25335D84" w:rsidR="00DB6D2E" w:rsidRDefault="00C2473B">
      <w:pPr>
        <w:pStyle w:val="TOC4"/>
        <w:tabs>
          <w:tab w:val="right" w:leader="dot" w:pos="5030"/>
        </w:tabs>
        <w:rPr>
          <w:rFonts w:eastAsiaTheme="minorEastAsia"/>
          <w:smallCaps w:val="0"/>
          <w:noProof/>
          <w:sz w:val="22"/>
          <w:lang w:val="en-US" w:eastAsia="en-US" w:bidi="ar-SA"/>
        </w:rPr>
      </w:pPr>
      <w:hyperlink w:anchor="_Toc54863509" w:history="1">
        <w:r w:rsidR="00DB6D2E" w:rsidRPr="0095336D">
          <w:rPr>
            <w:rStyle w:val="Hyperlink"/>
            <w:noProof/>
          </w:rPr>
          <w:t>Office 365 Video</w:t>
        </w:r>
        <w:r w:rsidR="00DB6D2E">
          <w:rPr>
            <w:noProof/>
            <w:webHidden/>
          </w:rPr>
          <w:tab/>
        </w:r>
        <w:r w:rsidR="00DB6D2E">
          <w:rPr>
            <w:noProof/>
            <w:webHidden/>
          </w:rPr>
          <w:fldChar w:fldCharType="begin"/>
        </w:r>
        <w:r w:rsidR="00DB6D2E">
          <w:rPr>
            <w:noProof/>
            <w:webHidden/>
          </w:rPr>
          <w:instrText xml:space="preserve"> PAGEREF _Toc54863509 \h </w:instrText>
        </w:r>
        <w:r w:rsidR="00DB6D2E">
          <w:rPr>
            <w:noProof/>
            <w:webHidden/>
          </w:rPr>
        </w:r>
        <w:r w:rsidR="00DB6D2E">
          <w:rPr>
            <w:noProof/>
            <w:webHidden/>
          </w:rPr>
          <w:fldChar w:fldCharType="separate"/>
        </w:r>
        <w:r w:rsidR="00DB6D2E">
          <w:rPr>
            <w:noProof/>
            <w:webHidden/>
          </w:rPr>
          <w:t>14</w:t>
        </w:r>
        <w:r w:rsidR="00DB6D2E">
          <w:rPr>
            <w:noProof/>
            <w:webHidden/>
          </w:rPr>
          <w:fldChar w:fldCharType="end"/>
        </w:r>
      </w:hyperlink>
    </w:p>
    <w:p w14:paraId="200A7AE8" w14:textId="2BFD054F" w:rsidR="00DB6D2E" w:rsidRDefault="00C2473B">
      <w:pPr>
        <w:pStyle w:val="TOC4"/>
        <w:tabs>
          <w:tab w:val="right" w:leader="dot" w:pos="5030"/>
        </w:tabs>
        <w:rPr>
          <w:rFonts w:eastAsiaTheme="minorEastAsia"/>
          <w:smallCaps w:val="0"/>
          <w:noProof/>
          <w:sz w:val="22"/>
          <w:lang w:val="en-US" w:eastAsia="en-US" w:bidi="ar-SA"/>
        </w:rPr>
      </w:pPr>
      <w:hyperlink w:anchor="_Toc54863510" w:history="1">
        <w:r w:rsidR="00DB6D2E" w:rsidRPr="0095336D">
          <w:rPr>
            <w:rStyle w:val="Hyperlink"/>
            <w:noProof/>
          </w:rPr>
          <w:t>OneDrive pro firmy</w:t>
        </w:r>
        <w:r w:rsidR="00DB6D2E">
          <w:rPr>
            <w:noProof/>
            <w:webHidden/>
          </w:rPr>
          <w:tab/>
        </w:r>
        <w:r w:rsidR="00DB6D2E">
          <w:rPr>
            <w:noProof/>
            <w:webHidden/>
          </w:rPr>
          <w:fldChar w:fldCharType="begin"/>
        </w:r>
        <w:r w:rsidR="00DB6D2E">
          <w:rPr>
            <w:noProof/>
            <w:webHidden/>
          </w:rPr>
          <w:instrText xml:space="preserve"> PAGEREF _Toc54863510 \h </w:instrText>
        </w:r>
        <w:r w:rsidR="00DB6D2E">
          <w:rPr>
            <w:noProof/>
            <w:webHidden/>
          </w:rPr>
        </w:r>
        <w:r w:rsidR="00DB6D2E">
          <w:rPr>
            <w:noProof/>
            <w:webHidden/>
          </w:rPr>
          <w:fldChar w:fldCharType="separate"/>
        </w:r>
        <w:r w:rsidR="00DB6D2E">
          <w:rPr>
            <w:noProof/>
            <w:webHidden/>
          </w:rPr>
          <w:t>14</w:t>
        </w:r>
        <w:r w:rsidR="00DB6D2E">
          <w:rPr>
            <w:noProof/>
            <w:webHidden/>
          </w:rPr>
          <w:fldChar w:fldCharType="end"/>
        </w:r>
      </w:hyperlink>
    </w:p>
    <w:p w14:paraId="4D19D72B" w14:textId="0F6EB58A" w:rsidR="00DB6D2E" w:rsidRDefault="00C2473B">
      <w:pPr>
        <w:pStyle w:val="TOC4"/>
        <w:tabs>
          <w:tab w:val="right" w:leader="dot" w:pos="5030"/>
        </w:tabs>
        <w:rPr>
          <w:rFonts w:eastAsiaTheme="minorEastAsia"/>
          <w:smallCaps w:val="0"/>
          <w:noProof/>
          <w:sz w:val="22"/>
          <w:lang w:val="en-US" w:eastAsia="en-US" w:bidi="ar-SA"/>
        </w:rPr>
      </w:pPr>
      <w:hyperlink w:anchor="_Toc54863511" w:history="1">
        <w:r w:rsidR="00DB6D2E" w:rsidRPr="0095336D">
          <w:rPr>
            <w:rStyle w:val="Hyperlink"/>
            <w:noProof/>
          </w:rPr>
          <w:t>Project</w:t>
        </w:r>
        <w:r w:rsidR="00DB6D2E">
          <w:rPr>
            <w:noProof/>
            <w:webHidden/>
          </w:rPr>
          <w:tab/>
        </w:r>
        <w:r w:rsidR="00DB6D2E">
          <w:rPr>
            <w:noProof/>
            <w:webHidden/>
          </w:rPr>
          <w:fldChar w:fldCharType="begin"/>
        </w:r>
        <w:r w:rsidR="00DB6D2E">
          <w:rPr>
            <w:noProof/>
            <w:webHidden/>
          </w:rPr>
          <w:instrText xml:space="preserve"> PAGEREF _Toc54863511 \h </w:instrText>
        </w:r>
        <w:r w:rsidR="00DB6D2E">
          <w:rPr>
            <w:noProof/>
            <w:webHidden/>
          </w:rPr>
        </w:r>
        <w:r w:rsidR="00DB6D2E">
          <w:rPr>
            <w:noProof/>
            <w:webHidden/>
          </w:rPr>
          <w:fldChar w:fldCharType="separate"/>
        </w:r>
        <w:r w:rsidR="00DB6D2E">
          <w:rPr>
            <w:noProof/>
            <w:webHidden/>
          </w:rPr>
          <w:t>15</w:t>
        </w:r>
        <w:r w:rsidR="00DB6D2E">
          <w:rPr>
            <w:noProof/>
            <w:webHidden/>
          </w:rPr>
          <w:fldChar w:fldCharType="end"/>
        </w:r>
      </w:hyperlink>
    </w:p>
    <w:p w14:paraId="736071FF" w14:textId="270D6D3A" w:rsidR="00DB6D2E" w:rsidRDefault="00C2473B">
      <w:pPr>
        <w:pStyle w:val="TOC4"/>
        <w:tabs>
          <w:tab w:val="right" w:leader="dot" w:pos="5030"/>
        </w:tabs>
        <w:rPr>
          <w:rFonts w:eastAsiaTheme="minorEastAsia"/>
          <w:smallCaps w:val="0"/>
          <w:noProof/>
          <w:sz w:val="22"/>
          <w:lang w:val="en-US" w:eastAsia="en-US" w:bidi="ar-SA"/>
        </w:rPr>
      </w:pPr>
      <w:hyperlink w:anchor="_Toc54863512" w:history="1">
        <w:r w:rsidR="00DB6D2E" w:rsidRPr="0095336D">
          <w:rPr>
            <w:rStyle w:val="Hyperlink"/>
            <w:noProof/>
          </w:rPr>
          <w:t>SharePoint Online</w:t>
        </w:r>
        <w:r w:rsidR="00DB6D2E">
          <w:rPr>
            <w:noProof/>
            <w:webHidden/>
          </w:rPr>
          <w:tab/>
        </w:r>
        <w:r w:rsidR="00DB6D2E">
          <w:rPr>
            <w:noProof/>
            <w:webHidden/>
          </w:rPr>
          <w:fldChar w:fldCharType="begin"/>
        </w:r>
        <w:r w:rsidR="00DB6D2E">
          <w:rPr>
            <w:noProof/>
            <w:webHidden/>
          </w:rPr>
          <w:instrText xml:space="preserve"> PAGEREF _Toc54863512 \h </w:instrText>
        </w:r>
        <w:r w:rsidR="00DB6D2E">
          <w:rPr>
            <w:noProof/>
            <w:webHidden/>
          </w:rPr>
        </w:r>
        <w:r w:rsidR="00DB6D2E">
          <w:rPr>
            <w:noProof/>
            <w:webHidden/>
          </w:rPr>
          <w:fldChar w:fldCharType="separate"/>
        </w:r>
        <w:r w:rsidR="00DB6D2E">
          <w:rPr>
            <w:noProof/>
            <w:webHidden/>
          </w:rPr>
          <w:t>15</w:t>
        </w:r>
        <w:r w:rsidR="00DB6D2E">
          <w:rPr>
            <w:noProof/>
            <w:webHidden/>
          </w:rPr>
          <w:fldChar w:fldCharType="end"/>
        </w:r>
      </w:hyperlink>
    </w:p>
    <w:p w14:paraId="56023A9F" w14:textId="6BDE6667" w:rsidR="00DB6D2E" w:rsidRDefault="00C2473B">
      <w:pPr>
        <w:pStyle w:val="TOC4"/>
        <w:tabs>
          <w:tab w:val="right" w:leader="dot" w:pos="5030"/>
        </w:tabs>
        <w:rPr>
          <w:rFonts w:eastAsiaTheme="minorEastAsia"/>
          <w:smallCaps w:val="0"/>
          <w:noProof/>
          <w:sz w:val="22"/>
          <w:lang w:val="en-US" w:eastAsia="en-US" w:bidi="ar-SA"/>
        </w:rPr>
      </w:pPr>
      <w:hyperlink w:anchor="_Toc54863513" w:history="1">
        <w:r w:rsidR="00DB6D2E" w:rsidRPr="0095336D">
          <w:rPr>
            <w:rStyle w:val="Hyperlink"/>
            <w:noProof/>
          </w:rPr>
          <w:t>Skype for Business Online</w:t>
        </w:r>
        <w:r w:rsidR="00DB6D2E">
          <w:rPr>
            <w:noProof/>
            <w:webHidden/>
          </w:rPr>
          <w:tab/>
        </w:r>
        <w:r w:rsidR="00DB6D2E">
          <w:rPr>
            <w:noProof/>
            <w:webHidden/>
          </w:rPr>
          <w:fldChar w:fldCharType="begin"/>
        </w:r>
        <w:r w:rsidR="00DB6D2E">
          <w:rPr>
            <w:noProof/>
            <w:webHidden/>
          </w:rPr>
          <w:instrText xml:space="preserve"> PAGEREF _Toc54863513 \h </w:instrText>
        </w:r>
        <w:r w:rsidR="00DB6D2E">
          <w:rPr>
            <w:noProof/>
            <w:webHidden/>
          </w:rPr>
        </w:r>
        <w:r w:rsidR="00DB6D2E">
          <w:rPr>
            <w:noProof/>
            <w:webHidden/>
          </w:rPr>
          <w:fldChar w:fldCharType="separate"/>
        </w:r>
        <w:r w:rsidR="00DB6D2E">
          <w:rPr>
            <w:noProof/>
            <w:webHidden/>
          </w:rPr>
          <w:t>15</w:t>
        </w:r>
        <w:r w:rsidR="00DB6D2E">
          <w:rPr>
            <w:noProof/>
            <w:webHidden/>
          </w:rPr>
          <w:fldChar w:fldCharType="end"/>
        </w:r>
      </w:hyperlink>
    </w:p>
    <w:p w14:paraId="2E8FD0B0" w14:textId="42A2D7E2" w:rsidR="00DB6D2E" w:rsidRDefault="00C2473B">
      <w:pPr>
        <w:pStyle w:val="TOC4"/>
        <w:tabs>
          <w:tab w:val="right" w:leader="dot" w:pos="5030"/>
        </w:tabs>
        <w:rPr>
          <w:rFonts w:eastAsiaTheme="minorEastAsia"/>
          <w:smallCaps w:val="0"/>
          <w:noProof/>
          <w:sz w:val="22"/>
          <w:lang w:val="en-US" w:eastAsia="en-US" w:bidi="ar-SA"/>
        </w:rPr>
      </w:pPr>
      <w:hyperlink w:anchor="_Toc54863514" w:history="1">
        <w:r w:rsidR="00DB6D2E" w:rsidRPr="0095336D">
          <w:rPr>
            <w:rStyle w:val="Hyperlink"/>
            <w:noProof/>
          </w:rPr>
          <w:t>Microsoft Teams – Calling Plans and Audio Conferencing</w:t>
        </w:r>
        <w:r w:rsidR="00DB6D2E">
          <w:rPr>
            <w:noProof/>
            <w:webHidden/>
          </w:rPr>
          <w:tab/>
        </w:r>
        <w:r w:rsidR="00DB6D2E">
          <w:rPr>
            <w:noProof/>
            <w:webHidden/>
          </w:rPr>
          <w:fldChar w:fldCharType="begin"/>
        </w:r>
        <w:r w:rsidR="00DB6D2E">
          <w:rPr>
            <w:noProof/>
            <w:webHidden/>
          </w:rPr>
          <w:instrText xml:space="preserve"> PAGEREF _Toc54863514 \h </w:instrText>
        </w:r>
        <w:r w:rsidR="00DB6D2E">
          <w:rPr>
            <w:noProof/>
            <w:webHidden/>
          </w:rPr>
        </w:r>
        <w:r w:rsidR="00DB6D2E">
          <w:rPr>
            <w:noProof/>
            <w:webHidden/>
          </w:rPr>
          <w:fldChar w:fldCharType="separate"/>
        </w:r>
        <w:r w:rsidR="00DB6D2E">
          <w:rPr>
            <w:noProof/>
            <w:webHidden/>
          </w:rPr>
          <w:t>16</w:t>
        </w:r>
        <w:r w:rsidR="00DB6D2E">
          <w:rPr>
            <w:noProof/>
            <w:webHidden/>
          </w:rPr>
          <w:fldChar w:fldCharType="end"/>
        </w:r>
      </w:hyperlink>
    </w:p>
    <w:p w14:paraId="5E45AB21" w14:textId="6D9D13A7" w:rsidR="00DB6D2E" w:rsidRDefault="00C2473B">
      <w:pPr>
        <w:pStyle w:val="TOC4"/>
        <w:tabs>
          <w:tab w:val="right" w:leader="dot" w:pos="5030"/>
        </w:tabs>
        <w:rPr>
          <w:rFonts w:eastAsiaTheme="minorEastAsia"/>
          <w:smallCaps w:val="0"/>
          <w:noProof/>
          <w:sz w:val="22"/>
          <w:lang w:val="en-US" w:eastAsia="en-US" w:bidi="ar-SA"/>
        </w:rPr>
      </w:pPr>
      <w:hyperlink w:anchor="_Toc54863515" w:history="1">
        <w:r w:rsidR="00DB6D2E" w:rsidRPr="0095336D">
          <w:rPr>
            <w:rStyle w:val="Hyperlink"/>
            <w:noProof/>
          </w:rPr>
          <w:t>Microsoft Teams – kvalita hlasu</w:t>
        </w:r>
        <w:r w:rsidR="00DB6D2E">
          <w:rPr>
            <w:noProof/>
            <w:webHidden/>
          </w:rPr>
          <w:tab/>
        </w:r>
        <w:r w:rsidR="00DB6D2E">
          <w:rPr>
            <w:noProof/>
            <w:webHidden/>
          </w:rPr>
          <w:fldChar w:fldCharType="begin"/>
        </w:r>
        <w:r w:rsidR="00DB6D2E">
          <w:rPr>
            <w:noProof/>
            <w:webHidden/>
          </w:rPr>
          <w:instrText xml:space="preserve"> PAGEREF _Toc54863515 \h </w:instrText>
        </w:r>
        <w:r w:rsidR="00DB6D2E">
          <w:rPr>
            <w:noProof/>
            <w:webHidden/>
          </w:rPr>
        </w:r>
        <w:r w:rsidR="00DB6D2E">
          <w:rPr>
            <w:noProof/>
            <w:webHidden/>
          </w:rPr>
          <w:fldChar w:fldCharType="separate"/>
        </w:r>
        <w:r w:rsidR="00DB6D2E">
          <w:rPr>
            <w:noProof/>
            <w:webHidden/>
          </w:rPr>
          <w:t>16</w:t>
        </w:r>
        <w:r w:rsidR="00DB6D2E">
          <w:rPr>
            <w:noProof/>
            <w:webHidden/>
          </w:rPr>
          <w:fldChar w:fldCharType="end"/>
        </w:r>
      </w:hyperlink>
    </w:p>
    <w:p w14:paraId="31C2FDDC" w14:textId="4DAB73D6" w:rsidR="00DB6D2E" w:rsidRDefault="00C2473B">
      <w:pPr>
        <w:pStyle w:val="TOC4"/>
        <w:tabs>
          <w:tab w:val="right" w:leader="dot" w:pos="5030"/>
        </w:tabs>
        <w:rPr>
          <w:rFonts w:eastAsiaTheme="minorEastAsia"/>
          <w:smallCaps w:val="0"/>
          <w:noProof/>
          <w:sz w:val="22"/>
          <w:lang w:val="en-US" w:eastAsia="en-US" w:bidi="ar-SA"/>
        </w:rPr>
      </w:pPr>
      <w:hyperlink w:anchor="_Toc54863516" w:history="1">
        <w:r w:rsidR="00DB6D2E" w:rsidRPr="0095336D">
          <w:rPr>
            <w:rStyle w:val="Hyperlink"/>
            <w:noProof/>
          </w:rPr>
          <w:t>Workplace Analytics</w:t>
        </w:r>
        <w:r w:rsidR="00DB6D2E">
          <w:rPr>
            <w:noProof/>
            <w:webHidden/>
          </w:rPr>
          <w:tab/>
        </w:r>
        <w:r w:rsidR="00DB6D2E">
          <w:rPr>
            <w:noProof/>
            <w:webHidden/>
          </w:rPr>
          <w:fldChar w:fldCharType="begin"/>
        </w:r>
        <w:r w:rsidR="00DB6D2E">
          <w:rPr>
            <w:noProof/>
            <w:webHidden/>
          </w:rPr>
          <w:instrText xml:space="preserve"> PAGEREF _Toc54863516 \h </w:instrText>
        </w:r>
        <w:r w:rsidR="00DB6D2E">
          <w:rPr>
            <w:noProof/>
            <w:webHidden/>
          </w:rPr>
        </w:r>
        <w:r w:rsidR="00DB6D2E">
          <w:rPr>
            <w:noProof/>
            <w:webHidden/>
          </w:rPr>
          <w:fldChar w:fldCharType="separate"/>
        </w:r>
        <w:r w:rsidR="00DB6D2E">
          <w:rPr>
            <w:noProof/>
            <w:webHidden/>
          </w:rPr>
          <w:t>17</w:t>
        </w:r>
        <w:r w:rsidR="00DB6D2E">
          <w:rPr>
            <w:noProof/>
            <w:webHidden/>
          </w:rPr>
          <w:fldChar w:fldCharType="end"/>
        </w:r>
      </w:hyperlink>
    </w:p>
    <w:p w14:paraId="2091B7D7" w14:textId="512105DB" w:rsidR="00DB6D2E" w:rsidRDefault="00C2473B">
      <w:pPr>
        <w:pStyle w:val="TOC4"/>
        <w:tabs>
          <w:tab w:val="right" w:leader="dot" w:pos="5030"/>
        </w:tabs>
        <w:rPr>
          <w:rFonts w:eastAsiaTheme="minorEastAsia"/>
          <w:smallCaps w:val="0"/>
          <w:noProof/>
          <w:sz w:val="22"/>
          <w:lang w:val="en-US" w:eastAsia="en-US" w:bidi="ar-SA"/>
        </w:rPr>
      </w:pPr>
      <w:hyperlink w:anchor="_Toc54863517" w:history="1">
        <w:r w:rsidR="00DB6D2E" w:rsidRPr="0095336D">
          <w:rPr>
            <w:rStyle w:val="Hyperlink"/>
            <w:noProof/>
          </w:rPr>
          <w:t>Yammer Enterprise</w:t>
        </w:r>
        <w:r w:rsidR="00DB6D2E">
          <w:rPr>
            <w:noProof/>
            <w:webHidden/>
          </w:rPr>
          <w:tab/>
        </w:r>
        <w:r w:rsidR="00DB6D2E">
          <w:rPr>
            <w:noProof/>
            <w:webHidden/>
          </w:rPr>
          <w:fldChar w:fldCharType="begin"/>
        </w:r>
        <w:r w:rsidR="00DB6D2E">
          <w:rPr>
            <w:noProof/>
            <w:webHidden/>
          </w:rPr>
          <w:instrText xml:space="preserve"> PAGEREF _Toc54863517 \h </w:instrText>
        </w:r>
        <w:r w:rsidR="00DB6D2E">
          <w:rPr>
            <w:noProof/>
            <w:webHidden/>
          </w:rPr>
        </w:r>
        <w:r w:rsidR="00DB6D2E">
          <w:rPr>
            <w:noProof/>
            <w:webHidden/>
          </w:rPr>
          <w:fldChar w:fldCharType="separate"/>
        </w:r>
        <w:r w:rsidR="00DB6D2E">
          <w:rPr>
            <w:noProof/>
            <w:webHidden/>
          </w:rPr>
          <w:t>17</w:t>
        </w:r>
        <w:r w:rsidR="00DB6D2E">
          <w:rPr>
            <w:noProof/>
            <w:webHidden/>
          </w:rPr>
          <w:fldChar w:fldCharType="end"/>
        </w:r>
      </w:hyperlink>
    </w:p>
    <w:p w14:paraId="1146818F" w14:textId="588CA88C" w:rsidR="00DB6D2E" w:rsidRDefault="00C2473B">
      <w:pPr>
        <w:pStyle w:val="TOC2"/>
        <w:tabs>
          <w:tab w:val="right" w:leader="dot" w:pos="5030"/>
        </w:tabs>
        <w:rPr>
          <w:rFonts w:eastAsiaTheme="minorEastAsia"/>
          <w:b w:val="0"/>
          <w:smallCaps w:val="0"/>
          <w:noProof/>
          <w:sz w:val="22"/>
          <w:lang w:val="en-US" w:eastAsia="en-US" w:bidi="ar-SA"/>
        </w:rPr>
      </w:pPr>
      <w:hyperlink w:anchor="_Toc54863518" w:history="1">
        <w:r w:rsidR="00DB6D2E" w:rsidRPr="0095336D">
          <w:rPr>
            <w:rStyle w:val="Hyperlink"/>
            <w:noProof/>
          </w:rPr>
          <w:t>Služby Microsoft Azure a plány služeb Azure:</w:t>
        </w:r>
        <w:r w:rsidR="00DB6D2E">
          <w:rPr>
            <w:noProof/>
            <w:webHidden/>
          </w:rPr>
          <w:tab/>
        </w:r>
        <w:r w:rsidR="00DB6D2E">
          <w:rPr>
            <w:noProof/>
            <w:webHidden/>
          </w:rPr>
          <w:fldChar w:fldCharType="begin"/>
        </w:r>
        <w:r w:rsidR="00DB6D2E">
          <w:rPr>
            <w:noProof/>
            <w:webHidden/>
          </w:rPr>
          <w:instrText xml:space="preserve"> PAGEREF _Toc54863518 \h </w:instrText>
        </w:r>
        <w:r w:rsidR="00DB6D2E">
          <w:rPr>
            <w:noProof/>
            <w:webHidden/>
          </w:rPr>
        </w:r>
        <w:r w:rsidR="00DB6D2E">
          <w:rPr>
            <w:noProof/>
            <w:webHidden/>
          </w:rPr>
          <w:fldChar w:fldCharType="separate"/>
        </w:r>
        <w:r w:rsidR="00DB6D2E">
          <w:rPr>
            <w:noProof/>
            <w:webHidden/>
          </w:rPr>
          <w:t>17</w:t>
        </w:r>
        <w:r w:rsidR="00DB6D2E">
          <w:rPr>
            <w:noProof/>
            <w:webHidden/>
          </w:rPr>
          <w:fldChar w:fldCharType="end"/>
        </w:r>
      </w:hyperlink>
    </w:p>
    <w:p w14:paraId="58E5053E" w14:textId="2551D358" w:rsidR="00DB6D2E" w:rsidRDefault="00C2473B">
      <w:pPr>
        <w:pStyle w:val="TOC2"/>
        <w:tabs>
          <w:tab w:val="right" w:leader="dot" w:pos="5030"/>
        </w:tabs>
        <w:rPr>
          <w:rFonts w:eastAsiaTheme="minorEastAsia"/>
          <w:b w:val="0"/>
          <w:smallCaps w:val="0"/>
          <w:noProof/>
          <w:sz w:val="22"/>
          <w:lang w:val="en-US" w:eastAsia="en-US" w:bidi="ar-SA"/>
        </w:rPr>
      </w:pPr>
      <w:hyperlink w:anchor="_Toc54863519" w:history="1">
        <w:r w:rsidR="00DB6D2E" w:rsidRPr="0095336D">
          <w:rPr>
            <w:rStyle w:val="Hyperlink"/>
            <w:noProof/>
          </w:rPr>
          <w:t>Ostatní služby online</w:t>
        </w:r>
        <w:r w:rsidR="00DB6D2E">
          <w:rPr>
            <w:noProof/>
            <w:webHidden/>
          </w:rPr>
          <w:tab/>
        </w:r>
        <w:r w:rsidR="00DB6D2E">
          <w:rPr>
            <w:noProof/>
            <w:webHidden/>
          </w:rPr>
          <w:fldChar w:fldCharType="begin"/>
        </w:r>
        <w:r w:rsidR="00DB6D2E">
          <w:rPr>
            <w:noProof/>
            <w:webHidden/>
          </w:rPr>
          <w:instrText xml:space="preserve"> PAGEREF _Toc54863519 \h </w:instrText>
        </w:r>
        <w:r w:rsidR="00DB6D2E">
          <w:rPr>
            <w:noProof/>
            <w:webHidden/>
          </w:rPr>
        </w:r>
        <w:r w:rsidR="00DB6D2E">
          <w:rPr>
            <w:noProof/>
            <w:webHidden/>
          </w:rPr>
          <w:fldChar w:fldCharType="separate"/>
        </w:r>
        <w:r w:rsidR="00DB6D2E">
          <w:rPr>
            <w:noProof/>
            <w:webHidden/>
          </w:rPr>
          <w:t>17</w:t>
        </w:r>
        <w:r w:rsidR="00DB6D2E">
          <w:rPr>
            <w:noProof/>
            <w:webHidden/>
          </w:rPr>
          <w:fldChar w:fldCharType="end"/>
        </w:r>
      </w:hyperlink>
    </w:p>
    <w:p w14:paraId="65070180" w14:textId="2969F8F3" w:rsidR="00DB6D2E" w:rsidRDefault="00C2473B">
      <w:pPr>
        <w:pStyle w:val="TOC4"/>
        <w:tabs>
          <w:tab w:val="right" w:leader="dot" w:pos="5030"/>
        </w:tabs>
        <w:rPr>
          <w:rFonts w:eastAsiaTheme="minorEastAsia"/>
          <w:smallCaps w:val="0"/>
          <w:noProof/>
          <w:sz w:val="22"/>
          <w:lang w:val="en-US" w:eastAsia="en-US" w:bidi="ar-SA"/>
        </w:rPr>
      </w:pPr>
      <w:hyperlink w:anchor="_Toc54863520" w:history="1">
        <w:r w:rsidR="00DB6D2E" w:rsidRPr="0095336D">
          <w:rPr>
            <w:rStyle w:val="Hyperlink"/>
            <w:noProof/>
          </w:rPr>
          <w:t>Azure Advanced Threat Protection</w:t>
        </w:r>
        <w:r w:rsidR="00DB6D2E">
          <w:rPr>
            <w:noProof/>
            <w:webHidden/>
          </w:rPr>
          <w:tab/>
        </w:r>
        <w:r w:rsidR="00DB6D2E">
          <w:rPr>
            <w:noProof/>
            <w:webHidden/>
          </w:rPr>
          <w:fldChar w:fldCharType="begin"/>
        </w:r>
        <w:r w:rsidR="00DB6D2E">
          <w:rPr>
            <w:noProof/>
            <w:webHidden/>
          </w:rPr>
          <w:instrText xml:space="preserve"> PAGEREF _Toc54863520 \h </w:instrText>
        </w:r>
        <w:r w:rsidR="00DB6D2E">
          <w:rPr>
            <w:noProof/>
            <w:webHidden/>
          </w:rPr>
        </w:r>
        <w:r w:rsidR="00DB6D2E">
          <w:rPr>
            <w:noProof/>
            <w:webHidden/>
          </w:rPr>
          <w:fldChar w:fldCharType="separate"/>
        </w:r>
        <w:r w:rsidR="00DB6D2E">
          <w:rPr>
            <w:noProof/>
            <w:webHidden/>
          </w:rPr>
          <w:t>17</w:t>
        </w:r>
        <w:r w:rsidR="00DB6D2E">
          <w:rPr>
            <w:noProof/>
            <w:webHidden/>
          </w:rPr>
          <w:fldChar w:fldCharType="end"/>
        </w:r>
      </w:hyperlink>
    </w:p>
    <w:p w14:paraId="58D16D81" w14:textId="03C7337B" w:rsidR="00DB6D2E" w:rsidRDefault="00C2473B">
      <w:pPr>
        <w:pStyle w:val="TOC4"/>
        <w:tabs>
          <w:tab w:val="right" w:leader="dot" w:pos="5030"/>
        </w:tabs>
        <w:rPr>
          <w:rFonts w:eastAsiaTheme="minorEastAsia"/>
          <w:smallCaps w:val="0"/>
          <w:noProof/>
          <w:sz w:val="22"/>
          <w:lang w:val="en-US" w:eastAsia="en-US" w:bidi="ar-SA"/>
        </w:rPr>
      </w:pPr>
      <w:hyperlink w:anchor="_Toc54863521" w:history="1">
        <w:r w:rsidR="00DB6D2E" w:rsidRPr="0095336D">
          <w:rPr>
            <w:rStyle w:val="Hyperlink"/>
            <w:noProof/>
          </w:rPr>
          <w:t>Bing Maps Enterprise Platform</w:t>
        </w:r>
        <w:r w:rsidR="00DB6D2E">
          <w:rPr>
            <w:noProof/>
            <w:webHidden/>
          </w:rPr>
          <w:tab/>
        </w:r>
        <w:r w:rsidR="00DB6D2E">
          <w:rPr>
            <w:noProof/>
            <w:webHidden/>
          </w:rPr>
          <w:fldChar w:fldCharType="begin"/>
        </w:r>
        <w:r w:rsidR="00DB6D2E">
          <w:rPr>
            <w:noProof/>
            <w:webHidden/>
          </w:rPr>
          <w:instrText xml:space="preserve"> PAGEREF _Toc54863521 \h </w:instrText>
        </w:r>
        <w:r w:rsidR="00DB6D2E">
          <w:rPr>
            <w:noProof/>
            <w:webHidden/>
          </w:rPr>
        </w:r>
        <w:r w:rsidR="00DB6D2E">
          <w:rPr>
            <w:noProof/>
            <w:webHidden/>
          </w:rPr>
          <w:fldChar w:fldCharType="separate"/>
        </w:r>
        <w:r w:rsidR="00DB6D2E">
          <w:rPr>
            <w:noProof/>
            <w:webHidden/>
          </w:rPr>
          <w:t>18</w:t>
        </w:r>
        <w:r w:rsidR="00DB6D2E">
          <w:rPr>
            <w:noProof/>
            <w:webHidden/>
          </w:rPr>
          <w:fldChar w:fldCharType="end"/>
        </w:r>
      </w:hyperlink>
    </w:p>
    <w:p w14:paraId="7562DE2E" w14:textId="0110C882" w:rsidR="00DB6D2E" w:rsidRDefault="00C2473B">
      <w:pPr>
        <w:pStyle w:val="TOC4"/>
        <w:tabs>
          <w:tab w:val="right" w:leader="dot" w:pos="5030"/>
        </w:tabs>
        <w:rPr>
          <w:rFonts w:eastAsiaTheme="minorEastAsia"/>
          <w:smallCaps w:val="0"/>
          <w:noProof/>
          <w:sz w:val="22"/>
          <w:lang w:val="en-US" w:eastAsia="en-US" w:bidi="ar-SA"/>
        </w:rPr>
      </w:pPr>
      <w:hyperlink w:anchor="_Toc54863522" w:history="1">
        <w:r w:rsidR="00DB6D2E" w:rsidRPr="0095336D">
          <w:rPr>
            <w:rStyle w:val="Hyperlink"/>
            <w:noProof/>
          </w:rPr>
          <w:t>Bing Maps Mobile Asset Management</w:t>
        </w:r>
        <w:r w:rsidR="00DB6D2E">
          <w:rPr>
            <w:noProof/>
            <w:webHidden/>
          </w:rPr>
          <w:tab/>
        </w:r>
        <w:r w:rsidR="00DB6D2E">
          <w:rPr>
            <w:noProof/>
            <w:webHidden/>
          </w:rPr>
          <w:fldChar w:fldCharType="begin"/>
        </w:r>
        <w:r w:rsidR="00DB6D2E">
          <w:rPr>
            <w:noProof/>
            <w:webHidden/>
          </w:rPr>
          <w:instrText xml:space="preserve"> PAGEREF _Toc54863522 \h </w:instrText>
        </w:r>
        <w:r w:rsidR="00DB6D2E">
          <w:rPr>
            <w:noProof/>
            <w:webHidden/>
          </w:rPr>
        </w:r>
        <w:r w:rsidR="00DB6D2E">
          <w:rPr>
            <w:noProof/>
            <w:webHidden/>
          </w:rPr>
          <w:fldChar w:fldCharType="separate"/>
        </w:r>
        <w:r w:rsidR="00DB6D2E">
          <w:rPr>
            <w:noProof/>
            <w:webHidden/>
          </w:rPr>
          <w:t>18</w:t>
        </w:r>
        <w:r w:rsidR="00DB6D2E">
          <w:rPr>
            <w:noProof/>
            <w:webHidden/>
          </w:rPr>
          <w:fldChar w:fldCharType="end"/>
        </w:r>
      </w:hyperlink>
    </w:p>
    <w:p w14:paraId="6CF26F43" w14:textId="7E2EB311" w:rsidR="00DB6D2E" w:rsidRDefault="00C2473B">
      <w:pPr>
        <w:pStyle w:val="TOC4"/>
        <w:tabs>
          <w:tab w:val="right" w:leader="dot" w:pos="5030"/>
        </w:tabs>
        <w:rPr>
          <w:rFonts w:eastAsiaTheme="minorEastAsia"/>
          <w:smallCaps w:val="0"/>
          <w:noProof/>
          <w:sz w:val="22"/>
          <w:lang w:val="en-US" w:eastAsia="en-US" w:bidi="ar-SA"/>
        </w:rPr>
      </w:pPr>
      <w:hyperlink w:anchor="_Toc54863523" w:history="1">
        <w:r w:rsidR="00DB6D2E" w:rsidRPr="0095336D">
          <w:rPr>
            <w:rStyle w:val="Hyperlink"/>
            <w:noProof/>
          </w:rPr>
          <w:t>Služba Microsoft Cloud App Security</w:t>
        </w:r>
        <w:r w:rsidR="00DB6D2E">
          <w:rPr>
            <w:noProof/>
            <w:webHidden/>
          </w:rPr>
          <w:tab/>
        </w:r>
        <w:r w:rsidR="00DB6D2E">
          <w:rPr>
            <w:noProof/>
            <w:webHidden/>
          </w:rPr>
          <w:fldChar w:fldCharType="begin"/>
        </w:r>
        <w:r w:rsidR="00DB6D2E">
          <w:rPr>
            <w:noProof/>
            <w:webHidden/>
          </w:rPr>
          <w:instrText xml:space="preserve"> PAGEREF _Toc54863523 \h </w:instrText>
        </w:r>
        <w:r w:rsidR="00DB6D2E">
          <w:rPr>
            <w:noProof/>
            <w:webHidden/>
          </w:rPr>
        </w:r>
        <w:r w:rsidR="00DB6D2E">
          <w:rPr>
            <w:noProof/>
            <w:webHidden/>
          </w:rPr>
          <w:fldChar w:fldCharType="separate"/>
        </w:r>
        <w:r w:rsidR="00DB6D2E">
          <w:rPr>
            <w:noProof/>
            <w:webHidden/>
          </w:rPr>
          <w:t>19</w:t>
        </w:r>
        <w:r w:rsidR="00DB6D2E">
          <w:rPr>
            <w:noProof/>
            <w:webHidden/>
          </w:rPr>
          <w:fldChar w:fldCharType="end"/>
        </w:r>
      </w:hyperlink>
    </w:p>
    <w:p w14:paraId="2BA3548D" w14:textId="6D74301C" w:rsidR="00DB6D2E" w:rsidRDefault="00C2473B">
      <w:pPr>
        <w:pStyle w:val="TOC4"/>
        <w:tabs>
          <w:tab w:val="right" w:leader="dot" w:pos="5030"/>
        </w:tabs>
        <w:rPr>
          <w:rFonts w:eastAsiaTheme="minorEastAsia"/>
          <w:smallCaps w:val="0"/>
          <w:noProof/>
          <w:sz w:val="22"/>
          <w:lang w:val="en-US" w:eastAsia="en-US" w:bidi="ar-SA"/>
        </w:rPr>
      </w:pPr>
      <w:hyperlink w:anchor="_Toc54863524" w:history="1">
        <w:r w:rsidR="00DB6D2E" w:rsidRPr="0095336D">
          <w:rPr>
            <w:rStyle w:val="Hyperlink"/>
            <w:noProof/>
          </w:rPr>
          <w:t>Microsoft Power Automate</w:t>
        </w:r>
        <w:r w:rsidR="00DB6D2E">
          <w:rPr>
            <w:noProof/>
            <w:webHidden/>
          </w:rPr>
          <w:tab/>
        </w:r>
        <w:r w:rsidR="00DB6D2E">
          <w:rPr>
            <w:noProof/>
            <w:webHidden/>
          </w:rPr>
          <w:fldChar w:fldCharType="begin"/>
        </w:r>
        <w:r w:rsidR="00DB6D2E">
          <w:rPr>
            <w:noProof/>
            <w:webHidden/>
          </w:rPr>
          <w:instrText xml:space="preserve"> PAGEREF _Toc54863524 \h </w:instrText>
        </w:r>
        <w:r w:rsidR="00DB6D2E">
          <w:rPr>
            <w:noProof/>
            <w:webHidden/>
          </w:rPr>
        </w:r>
        <w:r w:rsidR="00DB6D2E">
          <w:rPr>
            <w:noProof/>
            <w:webHidden/>
          </w:rPr>
          <w:fldChar w:fldCharType="separate"/>
        </w:r>
        <w:r w:rsidR="00DB6D2E">
          <w:rPr>
            <w:noProof/>
            <w:webHidden/>
          </w:rPr>
          <w:t>19</w:t>
        </w:r>
        <w:r w:rsidR="00DB6D2E">
          <w:rPr>
            <w:noProof/>
            <w:webHidden/>
          </w:rPr>
          <w:fldChar w:fldCharType="end"/>
        </w:r>
      </w:hyperlink>
    </w:p>
    <w:p w14:paraId="33EF7EC3" w14:textId="3FDABB29" w:rsidR="00DB6D2E" w:rsidRDefault="00C2473B">
      <w:pPr>
        <w:pStyle w:val="TOC4"/>
        <w:tabs>
          <w:tab w:val="right" w:leader="dot" w:pos="5030"/>
        </w:tabs>
        <w:rPr>
          <w:rFonts w:eastAsiaTheme="minorEastAsia"/>
          <w:smallCaps w:val="0"/>
          <w:noProof/>
          <w:sz w:val="22"/>
          <w:lang w:val="en-US" w:eastAsia="en-US" w:bidi="ar-SA"/>
        </w:rPr>
      </w:pPr>
      <w:hyperlink w:anchor="_Toc54863525" w:history="1">
        <w:r w:rsidR="00DB6D2E" w:rsidRPr="0095336D">
          <w:rPr>
            <w:rStyle w:val="Hyperlink"/>
            <w:noProof/>
          </w:rPr>
          <w:t>Microsoft Intune</w:t>
        </w:r>
        <w:r w:rsidR="00DB6D2E">
          <w:rPr>
            <w:noProof/>
            <w:webHidden/>
          </w:rPr>
          <w:tab/>
        </w:r>
        <w:r w:rsidR="00DB6D2E">
          <w:rPr>
            <w:noProof/>
            <w:webHidden/>
          </w:rPr>
          <w:fldChar w:fldCharType="begin"/>
        </w:r>
        <w:r w:rsidR="00DB6D2E">
          <w:rPr>
            <w:noProof/>
            <w:webHidden/>
          </w:rPr>
          <w:instrText xml:space="preserve"> PAGEREF _Toc54863525 \h </w:instrText>
        </w:r>
        <w:r w:rsidR="00DB6D2E">
          <w:rPr>
            <w:noProof/>
            <w:webHidden/>
          </w:rPr>
        </w:r>
        <w:r w:rsidR="00DB6D2E">
          <w:rPr>
            <w:noProof/>
            <w:webHidden/>
          </w:rPr>
          <w:fldChar w:fldCharType="separate"/>
        </w:r>
        <w:r w:rsidR="00DB6D2E">
          <w:rPr>
            <w:noProof/>
            <w:webHidden/>
          </w:rPr>
          <w:t>19</w:t>
        </w:r>
        <w:r w:rsidR="00DB6D2E">
          <w:rPr>
            <w:noProof/>
            <w:webHidden/>
          </w:rPr>
          <w:fldChar w:fldCharType="end"/>
        </w:r>
      </w:hyperlink>
    </w:p>
    <w:p w14:paraId="05DEDB01" w14:textId="78015577" w:rsidR="00DB6D2E" w:rsidRDefault="00C2473B">
      <w:pPr>
        <w:pStyle w:val="TOC4"/>
        <w:tabs>
          <w:tab w:val="right" w:leader="dot" w:pos="5030"/>
        </w:tabs>
        <w:rPr>
          <w:rFonts w:eastAsiaTheme="minorEastAsia"/>
          <w:smallCaps w:val="0"/>
          <w:noProof/>
          <w:sz w:val="22"/>
          <w:lang w:val="en-US" w:eastAsia="en-US" w:bidi="ar-SA"/>
        </w:rPr>
      </w:pPr>
      <w:hyperlink w:anchor="_Toc54863526" w:history="1">
        <w:r w:rsidR="00DB6D2E" w:rsidRPr="0095336D">
          <w:rPr>
            <w:rStyle w:val="Hyperlink"/>
            <w:noProof/>
          </w:rPr>
          <w:t>Microsoft Kaizala Pro</w:t>
        </w:r>
        <w:r w:rsidR="00DB6D2E">
          <w:rPr>
            <w:noProof/>
            <w:webHidden/>
          </w:rPr>
          <w:tab/>
        </w:r>
        <w:r w:rsidR="00DB6D2E">
          <w:rPr>
            <w:noProof/>
            <w:webHidden/>
          </w:rPr>
          <w:fldChar w:fldCharType="begin"/>
        </w:r>
        <w:r w:rsidR="00DB6D2E">
          <w:rPr>
            <w:noProof/>
            <w:webHidden/>
          </w:rPr>
          <w:instrText xml:space="preserve"> PAGEREF _Toc54863526 \h </w:instrText>
        </w:r>
        <w:r w:rsidR="00DB6D2E">
          <w:rPr>
            <w:noProof/>
            <w:webHidden/>
          </w:rPr>
        </w:r>
        <w:r w:rsidR="00DB6D2E">
          <w:rPr>
            <w:noProof/>
            <w:webHidden/>
          </w:rPr>
          <w:fldChar w:fldCharType="separate"/>
        </w:r>
        <w:r w:rsidR="00DB6D2E">
          <w:rPr>
            <w:noProof/>
            <w:webHidden/>
          </w:rPr>
          <w:t>20</w:t>
        </w:r>
        <w:r w:rsidR="00DB6D2E">
          <w:rPr>
            <w:noProof/>
            <w:webHidden/>
          </w:rPr>
          <w:fldChar w:fldCharType="end"/>
        </w:r>
      </w:hyperlink>
    </w:p>
    <w:p w14:paraId="518478DF" w14:textId="7977A5F3" w:rsidR="00DB6D2E" w:rsidRDefault="00C2473B">
      <w:pPr>
        <w:pStyle w:val="TOC4"/>
        <w:tabs>
          <w:tab w:val="right" w:leader="dot" w:pos="5030"/>
        </w:tabs>
        <w:rPr>
          <w:rFonts w:eastAsiaTheme="minorEastAsia"/>
          <w:smallCaps w:val="0"/>
          <w:noProof/>
          <w:sz w:val="22"/>
          <w:lang w:val="en-US" w:eastAsia="en-US" w:bidi="ar-SA"/>
        </w:rPr>
      </w:pPr>
      <w:hyperlink w:anchor="_Toc54863527" w:history="1">
        <w:r w:rsidR="00DB6D2E" w:rsidRPr="0095336D">
          <w:rPr>
            <w:rStyle w:val="Hyperlink"/>
            <w:noProof/>
          </w:rPr>
          <w:t>Microsoft Power Apps</w:t>
        </w:r>
        <w:r w:rsidR="00DB6D2E">
          <w:rPr>
            <w:noProof/>
            <w:webHidden/>
          </w:rPr>
          <w:tab/>
        </w:r>
        <w:r w:rsidR="00DB6D2E">
          <w:rPr>
            <w:noProof/>
            <w:webHidden/>
          </w:rPr>
          <w:fldChar w:fldCharType="begin"/>
        </w:r>
        <w:r w:rsidR="00DB6D2E">
          <w:rPr>
            <w:noProof/>
            <w:webHidden/>
          </w:rPr>
          <w:instrText xml:space="preserve"> PAGEREF _Toc54863527 \h </w:instrText>
        </w:r>
        <w:r w:rsidR="00DB6D2E">
          <w:rPr>
            <w:noProof/>
            <w:webHidden/>
          </w:rPr>
        </w:r>
        <w:r w:rsidR="00DB6D2E">
          <w:rPr>
            <w:noProof/>
            <w:webHidden/>
          </w:rPr>
          <w:fldChar w:fldCharType="separate"/>
        </w:r>
        <w:r w:rsidR="00DB6D2E">
          <w:rPr>
            <w:noProof/>
            <w:webHidden/>
          </w:rPr>
          <w:t>20</w:t>
        </w:r>
        <w:r w:rsidR="00DB6D2E">
          <w:rPr>
            <w:noProof/>
            <w:webHidden/>
          </w:rPr>
          <w:fldChar w:fldCharType="end"/>
        </w:r>
      </w:hyperlink>
    </w:p>
    <w:p w14:paraId="621DF61A" w14:textId="19446E8A" w:rsidR="00DB6D2E" w:rsidRDefault="00C2473B">
      <w:pPr>
        <w:pStyle w:val="TOC4"/>
        <w:tabs>
          <w:tab w:val="right" w:leader="dot" w:pos="5030"/>
        </w:tabs>
        <w:rPr>
          <w:rFonts w:eastAsiaTheme="minorEastAsia"/>
          <w:smallCaps w:val="0"/>
          <w:noProof/>
          <w:sz w:val="22"/>
          <w:lang w:val="en-US" w:eastAsia="en-US" w:bidi="ar-SA"/>
        </w:rPr>
      </w:pPr>
      <w:hyperlink w:anchor="_Toc54863528" w:history="1">
        <w:r w:rsidR="00DB6D2E" w:rsidRPr="0095336D">
          <w:rPr>
            <w:rStyle w:val="Hyperlink"/>
            <w:noProof/>
          </w:rPr>
          <w:t>Minecraft: Education Edition</w:t>
        </w:r>
        <w:r w:rsidR="00DB6D2E">
          <w:rPr>
            <w:noProof/>
            <w:webHidden/>
          </w:rPr>
          <w:tab/>
        </w:r>
        <w:r w:rsidR="00DB6D2E">
          <w:rPr>
            <w:noProof/>
            <w:webHidden/>
          </w:rPr>
          <w:fldChar w:fldCharType="begin"/>
        </w:r>
        <w:r w:rsidR="00DB6D2E">
          <w:rPr>
            <w:noProof/>
            <w:webHidden/>
          </w:rPr>
          <w:instrText xml:space="preserve"> PAGEREF _Toc54863528 \h </w:instrText>
        </w:r>
        <w:r w:rsidR="00DB6D2E">
          <w:rPr>
            <w:noProof/>
            <w:webHidden/>
          </w:rPr>
        </w:r>
        <w:r w:rsidR="00DB6D2E">
          <w:rPr>
            <w:noProof/>
            <w:webHidden/>
          </w:rPr>
          <w:fldChar w:fldCharType="separate"/>
        </w:r>
        <w:r w:rsidR="00DB6D2E">
          <w:rPr>
            <w:noProof/>
            <w:webHidden/>
          </w:rPr>
          <w:t>21</w:t>
        </w:r>
        <w:r w:rsidR="00DB6D2E">
          <w:rPr>
            <w:noProof/>
            <w:webHidden/>
          </w:rPr>
          <w:fldChar w:fldCharType="end"/>
        </w:r>
      </w:hyperlink>
    </w:p>
    <w:p w14:paraId="32771D49" w14:textId="7C8F7997" w:rsidR="00DB6D2E" w:rsidRDefault="00C2473B">
      <w:pPr>
        <w:pStyle w:val="TOC4"/>
        <w:tabs>
          <w:tab w:val="right" w:leader="dot" w:pos="5030"/>
        </w:tabs>
        <w:rPr>
          <w:rFonts w:eastAsiaTheme="minorEastAsia"/>
          <w:smallCaps w:val="0"/>
          <w:noProof/>
          <w:sz w:val="22"/>
          <w:lang w:val="en-US" w:eastAsia="en-US" w:bidi="ar-SA"/>
        </w:rPr>
      </w:pPr>
      <w:hyperlink w:anchor="_Toc54863529" w:history="1">
        <w:r w:rsidR="00DB6D2E" w:rsidRPr="0095336D">
          <w:rPr>
            <w:rStyle w:val="Hyperlink"/>
            <w:noProof/>
          </w:rPr>
          <w:t>Power BI Embedded</w:t>
        </w:r>
        <w:r w:rsidR="00DB6D2E">
          <w:rPr>
            <w:noProof/>
            <w:webHidden/>
          </w:rPr>
          <w:tab/>
        </w:r>
        <w:r w:rsidR="00DB6D2E">
          <w:rPr>
            <w:noProof/>
            <w:webHidden/>
          </w:rPr>
          <w:fldChar w:fldCharType="begin"/>
        </w:r>
        <w:r w:rsidR="00DB6D2E">
          <w:rPr>
            <w:noProof/>
            <w:webHidden/>
          </w:rPr>
          <w:instrText xml:space="preserve"> PAGEREF _Toc54863529 \h </w:instrText>
        </w:r>
        <w:r w:rsidR="00DB6D2E">
          <w:rPr>
            <w:noProof/>
            <w:webHidden/>
          </w:rPr>
        </w:r>
        <w:r w:rsidR="00DB6D2E">
          <w:rPr>
            <w:noProof/>
            <w:webHidden/>
          </w:rPr>
          <w:fldChar w:fldCharType="separate"/>
        </w:r>
        <w:r w:rsidR="00DB6D2E">
          <w:rPr>
            <w:noProof/>
            <w:webHidden/>
          </w:rPr>
          <w:t>21</w:t>
        </w:r>
        <w:r w:rsidR="00DB6D2E">
          <w:rPr>
            <w:noProof/>
            <w:webHidden/>
          </w:rPr>
          <w:fldChar w:fldCharType="end"/>
        </w:r>
      </w:hyperlink>
    </w:p>
    <w:p w14:paraId="1EAB4B32" w14:textId="05A1264F" w:rsidR="00DB6D2E" w:rsidRDefault="00C2473B">
      <w:pPr>
        <w:pStyle w:val="TOC4"/>
        <w:tabs>
          <w:tab w:val="right" w:leader="dot" w:pos="5030"/>
        </w:tabs>
        <w:rPr>
          <w:rFonts w:eastAsiaTheme="minorEastAsia"/>
          <w:smallCaps w:val="0"/>
          <w:noProof/>
          <w:sz w:val="22"/>
          <w:lang w:val="en-US" w:eastAsia="en-US" w:bidi="ar-SA"/>
        </w:rPr>
      </w:pPr>
      <w:hyperlink w:anchor="_Toc54863530" w:history="1">
        <w:r w:rsidR="00DB6D2E" w:rsidRPr="0095336D">
          <w:rPr>
            <w:rStyle w:val="Hyperlink"/>
            <w:noProof/>
          </w:rPr>
          <w:t>Power BI Premium</w:t>
        </w:r>
        <w:r w:rsidR="00DB6D2E">
          <w:rPr>
            <w:noProof/>
            <w:webHidden/>
          </w:rPr>
          <w:tab/>
        </w:r>
        <w:r w:rsidR="00DB6D2E">
          <w:rPr>
            <w:noProof/>
            <w:webHidden/>
          </w:rPr>
          <w:fldChar w:fldCharType="begin"/>
        </w:r>
        <w:r w:rsidR="00DB6D2E">
          <w:rPr>
            <w:noProof/>
            <w:webHidden/>
          </w:rPr>
          <w:instrText xml:space="preserve"> PAGEREF _Toc54863530 \h </w:instrText>
        </w:r>
        <w:r w:rsidR="00DB6D2E">
          <w:rPr>
            <w:noProof/>
            <w:webHidden/>
          </w:rPr>
        </w:r>
        <w:r w:rsidR="00DB6D2E">
          <w:rPr>
            <w:noProof/>
            <w:webHidden/>
          </w:rPr>
          <w:fldChar w:fldCharType="separate"/>
        </w:r>
        <w:r w:rsidR="00DB6D2E">
          <w:rPr>
            <w:noProof/>
            <w:webHidden/>
          </w:rPr>
          <w:t>22</w:t>
        </w:r>
        <w:r w:rsidR="00DB6D2E">
          <w:rPr>
            <w:noProof/>
            <w:webHidden/>
          </w:rPr>
          <w:fldChar w:fldCharType="end"/>
        </w:r>
      </w:hyperlink>
    </w:p>
    <w:p w14:paraId="2C707031" w14:textId="205F1130" w:rsidR="00DB6D2E" w:rsidRDefault="00C2473B">
      <w:pPr>
        <w:pStyle w:val="TOC4"/>
        <w:tabs>
          <w:tab w:val="right" w:leader="dot" w:pos="5030"/>
        </w:tabs>
        <w:rPr>
          <w:rFonts w:eastAsiaTheme="minorEastAsia"/>
          <w:smallCaps w:val="0"/>
          <w:noProof/>
          <w:sz w:val="22"/>
          <w:lang w:val="en-US" w:eastAsia="en-US" w:bidi="ar-SA"/>
        </w:rPr>
      </w:pPr>
      <w:hyperlink w:anchor="_Toc54863531" w:history="1">
        <w:r w:rsidR="00DB6D2E" w:rsidRPr="0095336D">
          <w:rPr>
            <w:rStyle w:val="Hyperlink"/>
            <w:noProof/>
          </w:rPr>
          <w:t>Power BI Pro</w:t>
        </w:r>
        <w:r w:rsidR="00DB6D2E">
          <w:rPr>
            <w:noProof/>
            <w:webHidden/>
          </w:rPr>
          <w:tab/>
        </w:r>
        <w:r w:rsidR="00DB6D2E">
          <w:rPr>
            <w:noProof/>
            <w:webHidden/>
          </w:rPr>
          <w:fldChar w:fldCharType="begin"/>
        </w:r>
        <w:r w:rsidR="00DB6D2E">
          <w:rPr>
            <w:noProof/>
            <w:webHidden/>
          </w:rPr>
          <w:instrText xml:space="preserve"> PAGEREF _Toc54863531 \h </w:instrText>
        </w:r>
        <w:r w:rsidR="00DB6D2E">
          <w:rPr>
            <w:noProof/>
            <w:webHidden/>
          </w:rPr>
        </w:r>
        <w:r w:rsidR="00DB6D2E">
          <w:rPr>
            <w:noProof/>
            <w:webHidden/>
          </w:rPr>
          <w:fldChar w:fldCharType="separate"/>
        </w:r>
        <w:r w:rsidR="00DB6D2E">
          <w:rPr>
            <w:noProof/>
            <w:webHidden/>
          </w:rPr>
          <w:t>22</w:t>
        </w:r>
        <w:r w:rsidR="00DB6D2E">
          <w:rPr>
            <w:noProof/>
            <w:webHidden/>
          </w:rPr>
          <w:fldChar w:fldCharType="end"/>
        </w:r>
      </w:hyperlink>
    </w:p>
    <w:p w14:paraId="708CD606" w14:textId="3592B46A" w:rsidR="00DB6D2E" w:rsidRDefault="00C2473B">
      <w:pPr>
        <w:pStyle w:val="TOC4"/>
        <w:tabs>
          <w:tab w:val="right" w:leader="dot" w:pos="5030"/>
        </w:tabs>
        <w:rPr>
          <w:rFonts w:eastAsiaTheme="minorEastAsia"/>
          <w:smallCaps w:val="0"/>
          <w:noProof/>
          <w:sz w:val="22"/>
          <w:lang w:val="en-US" w:eastAsia="en-US" w:bidi="ar-SA"/>
        </w:rPr>
      </w:pPr>
      <w:hyperlink w:anchor="_Toc54863532" w:history="1">
        <w:r w:rsidR="00DB6D2E" w:rsidRPr="0095336D">
          <w:rPr>
            <w:rStyle w:val="Hyperlink"/>
            <w:noProof/>
          </w:rPr>
          <w:t>Rozhraní Translator API</w:t>
        </w:r>
        <w:r w:rsidR="00DB6D2E">
          <w:rPr>
            <w:noProof/>
            <w:webHidden/>
          </w:rPr>
          <w:tab/>
        </w:r>
        <w:r w:rsidR="00DB6D2E">
          <w:rPr>
            <w:noProof/>
            <w:webHidden/>
          </w:rPr>
          <w:fldChar w:fldCharType="begin"/>
        </w:r>
        <w:r w:rsidR="00DB6D2E">
          <w:rPr>
            <w:noProof/>
            <w:webHidden/>
          </w:rPr>
          <w:instrText xml:space="preserve"> PAGEREF _Toc54863532 \h </w:instrText>
        </w:r>
        <w:r w:rsidR="00DB6D2E">
          <w:rPr>
            <w:noProof/>
            <w:webHidden/>
          </w:rPr>
        </w:r>
        <w:r w:rsidR="00DB6D2E">
          <w:rPr>
            <w:noProof/>
            <w:webHidden/>
          </w:rPr>
          <w:fldChar w:fldCharType="separate"/>
        </w:r>
        <w:r w:rsidR="00DB6D2E">
          <w:rPr>
            <w:noProof/>
            <w:webHidden/>
          </w:rPr>
          <w:t>22</w:t>
        </w:r>
        <w:r w:rsidR="00DB6D2E">
          <w:rPr>
            <w:noProof/>
            <w:webHidden/>
          </w:rPr>
          <w:fldChar w:fldCharType="end"/>
        </w:r>
      </w:hyperlink>
    </w:p>
    <w:p w14:paraId="65FB964B" w14:textId="4E895541" w:rsidR="00DB6D2E" w:rsidRDefault="00C2473B">
      <w:pPr>
        <w:pStyle w:val="TOC4"/>
        <w:tabs>
          <w:tab w:val="right" w:leader="dot" w:pos="5030"/>
        </w:tabs>
        <w:rPr>
          <w:rFonts w:eastAsiaTheme="minorEastAsia"/>
          <w:smallCaps w:val="0"/>
          <w:noProof/>
          <w:sz w:val="22"/>
          <w:lang w:val="en-US" w:eastAsia="en-US" w:bidi="ar-SA"/>
        </w:rPr>
      </w:pPr>
      <w:hyperlink w:anchor="_Toc54863533" w:history="1">
        <w:r w:rsidR="00DB6D2E" w:rsidRPr="0095336D">
          <w:rPr>
            <w:rStyle w:val="Hyperlink"/>
            <w:noProof/>
          </w:rPr>
          <w:t>Microsoft Defender Advanced Threat Protection:</w:t>
        </w:r>
        <w:r w:rsidR="00DB6D2E">
          <w:rPr>
            <w:noProof/>
            <w:webHidden/>
          </w:rPr>
          <w:tab/>
        </w:r>
        <w:r w:rsidR="00DB6D2E">
          <w:rPr>
            <w:noProof/>
            <w:webHidden/>
          </w:rPr>
          <w:fldChar w:fldCharType="begin"/>
        </w:r>
        <w:r w:rsidR="00DB6D2E">
          <w:rPr>
            <w:noProof/>
            <w:webHidden/>
          </w:rPr>
          <w:instrText xml:space="preserve"> PAGEREF _Toc54863533 \h </w:instrText>
        </w:r>
        <w:r w:rsidR="00DB6D2E">
          <w:rPr>
            <w:noProof/>
            <w:webHidden/>
          </w:rPr>
        </w:r>
        <w:r w:rsidR="00DB6D2E">
          <w:rPr>
            <w:noProof/>
            <w:webHidden/>
          </w:rPr>
          <w:fldChar w:fldCharType="separate"/>
        </w:r>
        <w:r w:rsidR="00DB6D2E">
          <w:rPr>
            <w:noProof/>
            <w:webHidden/>
          </w:rPr>
          <w:t>23</w:t>
        </w:r>
        <w:r w:rsidR="00DB6D2E">
          <w:rPr>
            <w:noProof/>
            <w:webHidden/>
          </w:rPr>
          <w:fldChar w:fldCharType="end"/>
        </w:r>
      </w:hyperlink>
    </w:p>
    <w:p w14:paraId="7FC1ADA8" w14:textId="10E37AC6" w:rsidR="00DB6D2E" w:rsidRDefault="00C2473B">
      <w:pPr>
        <w:pStyle w:val="TOC1"/>
        <w:tabs>
          <w:tab w:val="right" w:leader="dot" w:pos="5030"/>
        </w:tabs>
        <w:rPr>
          <w:rFonts w:eastAsiaTheme="minorEastAsia"/>
          <w:b w:val="0"/>
          <w:caps w:val="0"/>
          <w:noProof/>
          <w:sz w:val="22"/>
          <w:lang w:val="en-US" w:eastAsia="en-US" w:bidi="ar-SA"/>
        </w:rPr>
      </w:pPr>
      <w:hyperlink w:anchor="_Toc54863534" w:history="1">
        <w:r w:rsidR="00DB6D2E" w:rsidRPr="0095336D">
          <w:rPr>
            <w:rStyle w:val="Hyperlink"/>
            <w:noProof/>
          </w:rPr>
          <w:t>Příloha A – Závazek úrovně služby pro detekci a blokování virů, efektivitu nevyžádané pošty a falešně pozitivní případy</w:t>
        </w:r>
        <w:r w:rsidR="00DB6D2E">
          <w:rPr>
            <w:noProof/>
            <w:webHidden/>
          </w:rPr>
          <w:tab/>
        </w:r>
        <w:r w:rsidR="00DB6D2E">
          <w:rPr>
            <w:noProof/>
            <w:webHidden/>
          </w:rPr>
          <w:fldChar w:fldCharType="begin"/>
        </w:r>
        <w:r w:rsidR="00DB6D2E">
          <w:rPr>
            <w:noProof/>
            <w:webHidden/>
          </w:rPr>
          <w:instrText xml:space="preserve"> PAGEREF _Toc54863534 \h </w:instrText>
        </w:r>
        <w:r w:rsidR="00DB6D2E">
          <w:rPr>
            <w:noProof/>
            <w:webHidden/>
          </w:rPr>
        </w:r>
        <w:r w:rsidR="00DB6D2E">
          <w:rPr>
            <w:noProof/>
            <w:webHidden/>
          </w:rPr>
          <w:fldChar w:fldCharType="separate"/>
        </w:r>
        <w:r w:rsidR="00DB6D2E">
          <w:rPr>
            <w:noProof/>
            <w:webHidden/>
          </w:rPr>
          <w:t>24</w:t>
        </w:r>
        <w:r w:rsidR="00DB6D2E">
          <w:rPr>
            <w:noProof/>
            <w:webHidden/>
          </w:rPr>
          <w:fldChar w:fldCharType="end"/>
        </w:r>
      </w:hyperlink>
    </w:p>
    <w:p w14:paraId="4430143F" w14:textId="21EE6D86" w:rsidR="00DB6D2E" w:rsidRDefault="00C2473B">
      <w:pPr>
        <w:pStyle w:val="TOC1"/>
        <w:tabs>
          <w:tab w:val="right" w:leader="dot" w:pos="5030"/>
        </w:tabs>
        <w:rPr>
          <w:rFonts w:eastAsiaTheme="minorEastAsia"/>
          <w:b w:val="0"/>
          <w:caps w:val="0"/>
          <w:noProof/>
          <w:sz w:val="22"/>
          <w:lang w:val="en-US" w:eastAsia="en-US" w:bidi="ar-SA"/>
        </w:rPr>
      </w:pPr>
      <w:hyperlink w:anchor="_Toc54863535" w:history="1">
        <w:r w:rsidR="00DB6D2E" w:rsidRPr="0095336D">
          <w:rPr>
            <w:rStyle w:val="Hyperlink"/>
            <w:noProof/>
          </w:rPr>
          <w:t>Příloha B – Závazek úrovně služby pro dobu fungování a doručování e-mailů</w:t>
        </w:r>
        <w:r w:rsidR="00DB6D2E">
          <w:rPr>
            <w:noProof/>
            <w:webHidden/>
          </w:rPr>
          <w:tab/>
        </w:r>
        <w:r w:rsidR="00DB6D2E">
          <w:rPr>
            <w:noProof/>
            <w:webHidden/>
          </w:rPr>
          <w:fldChar w:fldCharType="begin"/>
        </w:r>
        <w:r w:rsidR="00DB6D2E">
          <w:rPr>
            <w:noProof/>
            <w:webHidden/>
          </w:rPr>
          <w:instrText xml:space="preserve"> PAGEREF _Toc54863535 \h </w:instrText>
        </w:r>
        <w:r w:rsidR="00DB6D2E">
          <w:rPr>
            <w:noProof/>
            <w:webHidden/>
          </w:rPr>
        </w:r>
        <w:r w:rsidR="00DB6D2E">
          <w:rPr>
            <w:noProof/>
            <w:webHidden/>
          </w:rPr>
          <w:fldChar w:fldCharType="separate"/>
        </w:r>
        <w:r w:rsidR="00DB6D2E">
          <w:rPr>
            <w:noProof/>
            <w:webHidden/>
          </w:rPr>
          <w:t>25</w:t>
        </w:r>
        <w:r w:rsidR="00DB6D2E">
          <w:rPr>
            <w:noProof/>
            <w:webHidden/>
          </w:rPr>
          <w:fldChar w:fldCharType="end"/>
        </w:r>
      </w:hyperlink>
    </w:p>
    <w:p w14:paraId="3CA6B7A7" w14:textId="03858570"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4863484"/>
      <w:bookmarkStart w:id="6" w:name="Introduction"/>
      <w:r>
        <w:lastRenderedPageBreak/>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2973D9">
        <w:trPr>
          <w:tblHeader/>
        </w:trPr>
        <w:tc>
          <w:tcPr>
            <w:tcW w:w="5395" w:type="dxa"/>
            <w:shd w:val="clear" w:color="auto" w:fill="0072C6"/>
          </w:tcPr>
          <w:p w14:paraId="5F354E5C" w14:textId="77777777" w:rsidR="006E48E7" w:rsidRPr="006D4DC5" w:rsidRDefault="006E48E7" w:rsidP="002973D9">
            <w:pPr>
              <w:pStyle w:val="ProductList-OfferingBody"/>
            </w:pPr>
            <w:r>
              <w:rPr>
                <w:color w:val="FFFFFF" w:themeColor="background1"/>
              </w:rPr>
              <w:t>Přidané položky</w:t>
            </w:r>
          </w:p>
        </w:tc>
        <w:tc>
          <w:tcPr>
            <w:tcW w:w="5395" w:type="dxa"/>
            <w:shd w:val="clear" w:color="auto" w:fill="0072C6"/>
          </w:tcPr>
          <w:p w14:paraId="1B0C0028" w14:textId="77777777" w:rsidR="006E48E7" w:rsidRPr="006D4DC5" w:rsidRDefault="006E48E7" w:rsidP="002973D9">
            <w:pPr>
              <w:pStyle w:val="ProductList-OfferingBody"/>
            </w:pPr>
            <w:r>
              <w:rPr>
                <w:color w:val="FFFFFF" w:themeColor="background1"/>
              </w:rPr>
              <w:t>Odstraněné položky</w:t>
            </w:r>
          </w:p>
        </w:tc>
      </w:tr>
      <w:tr w:rsidR="00E97E3E" w:rsidRPr="003650D0" w14:paraId="7A122957" w14:textId="77777777" w:rsidTr="002973D9">
        <w:trPr>
          <w:tblHeader/>
        </w:trPr>
        <w:tc>
          <w:tcPr>
            <w:tcW w:w="5395" w:type="dxa"/>
            <w:shd w:val="clear" w:color="auto" w:fill="auto"/>
          </w:tcPr>
          <w:p w14:paraId="528CC76B" w14:textId="515FB8DB" w:rsidR="00E97E3E" w:rsidRPr="006D4DC5" w:rsidRDefault="00E97E3E" w:rsidP="00E97E3E">
            <w:pPr>
              <w:pStyle w:val="ProductList-OfferingBody"/>
              <w:rPr>
                <w:color w:val="000000" w:themeColor="text1"/>
              </w:rPr>
            </w:pPr>
          </w:p>
        </w:tc>
        <w:tc>
          <w:tcPr>
            <w:tcW w:w="5395" w:type="dxa"/>
            <w:shd w:val="clear" w:color="auto" w:fill="auto"/>
          </w:tcPr>
          <w:p w14:paraId="7DCB448F" w14:textId="77777777" w:rsidR="00E97E3E" w:rsidRPr="006D4DC5" w:rsidRDefault="00E97E3E" w:rsidP="00E97E3E">
            <w:pPr>
              <w:pStyle w:val="ProductList-OfferingBody"/>
              <w:rPr>
                <w:color w:val="000000" w:themeColor="text1"/>
              </w:rPr>
            </w:pPr>
          </w:p>
        </w:tc>
      </w:tr>
    </w:tbl>
    <w:p w14:paraId="4380E6F6" w14:textId="77777777" w:rsidR="00E97E3E" w:rsidRPr="0059513D" w:rsidRDefault="00E97E3E" w:rsidP="00E97E3E">
      <w:pPr>
        <w:pStyle w:val="ProductList-Body"/>
      </w:pPr>
    </w:p>
    <w:p w14:paraId="432934B9" w14:textId="34A45752" w:rsidR="00E97E3E" w:rsidRPr="0059513D" w:rsidRDefault="00C2473B" w:rsidP="00E97E3E">
      <w:pPr>
        <w:pStyle w:val="ProductList-Body"/>
      </w:pPr>
      <w:hyperlink w:anchor="_top" w:tooltip="Služby Microsoft Azure a plány služeb Azure" w:history="1">
        <w:r w:rsidR="00DB6D2E">
          <w:rPr>
            <w:rStyle w:val="Hyperlink"/>
          </w:rPr>
          <w:t>Služby Microsoft Azure a plány služeb Azure</w:t>
        </w:r>
      </w:hyperlink>
      <w:r w:rsidR="00DB6D2E">
        <w:t>: Podmínky specifické pro služby Azure budou poskytovány prostřednictvím odkazu na smlouvu SLA publikovanou na stránkách Azure.com. S touto změnou nejsou spojeny žádné zásadní aktualizace smlouvy SLA pro služby Azure. Smlouvy SLA pro služby Azure byly v minulosti publikovány na obou místech</w:t>
      </w:r>
      <w:r w:rsidR="00E97E3E">
        <w:t>.</w:t>
      </w:r>
    </w:p>
    <w:p w14:paraId="1ED87061" w14:textId="77777777" w:rsidR="00E97E3E" w:rsidRPr="0059513D" w:rsidRDefault="00E97E3E" w:rsidP="00E97E3E">
      <w:pPr>
        <w:pStyle w:val="ProductList-Body"/>
      </w:pPr>
    </w:p>
    <w:p w14:paraId="47F4B925" w14:textId="2E100B55" w:rsidR="006249B8" w:rsidRPr="00182C80" w:rsidRDefault="00C2473B"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4863485"/>
      <w:bookmarkStart w:id="10" w:name="GeneralTerms"/>
      <w:r>
        <w:lastRenderedPageBreak/>
        <w:t>Obecné podmínky</w:t>
      </w:r>
      <w:bookmarkEnd w:id="9"/>
    </w:p>
    <w:p w14:paraId="0BDF752D" w14:textId="5F0E96A9" w:rsidR="00045C64" w:rsidRPr="0070132B" w:rsidRDefault="00E11454" w:rsidP="002E19BD">
      <w:pPr>
        <w:pStyle w:val="ProductList-SubSection1Heading"/>
        <w:rPr>
          <w:lang w:eastAsia="en-US" w:bidi="ar-SA"/>
        </w:rPr>
      </w:pPr>
      <w:bookmarkStart w:id="11" w:name="Definitions"/>
      <w:bookmarkEnd w:id="10"/>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C2473B"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4863486"/>
      <w:bookmarkStart w:id="16" w:name="ServiceSpecificTerms"/>
      <w:r>
        <w:lastRenderedPageBreak/>
        <w:t>Podmínky specifické pro služby</w:t>
      </w:r>
      <w:bookmarkEnd w:id="15"/>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4863487"/>
      <w:bookmarkEnd w:id="16"/>
      <w:r>
        <w:t>Microsoft Dynamics</w:t>
      </w:r>
      <w:bookmarkEnd w:id="17"/>
      <w:bookmarkEnd w:id="18"/>
      <w:r>
        <w:t xml:space="preserve"> 365</w:t>
      </w:r>
      <w:bookmarkEnd w:id="19"/>
      <w:bookmarkEnd w:id="20"/>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1" w:name="_Toc54863488"/>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54CE0D7E" w14:textId="77777777" w:rsidR="00411082" w:rsidRPr="00C84C65" w:rsidRDefault="00411082" w:rsidP="00411082">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7FE879C7" w14:textId="77777777" w:rsidR="00411082" w:rsidRPr="00C84C65" w:rsidRDefault="00411082" w:rsidP="00411082">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494D3C9" w14:textId="77777777" w:rsidR="00411082" w:rsidRPr="00953B2B" w:rsidRDefault="00C2473B"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9378A6">
        <w:trPr>
          <w:tblHeader/>
        </w:trPr>
        <w:tc>
          <w:tcPr>
            <w:tcW w:w="5400" w:type="dxa"/>
            <w:shd w:val="clear" w:color="auto" w:fill="0072C6"/>
          </w:tcPr>
          <w:p w14:paraId="23C58F1A" w14:textId="77777777" w:rsidR="00411082" w:rsidRPr="001A0074"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9378A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9378A6">
        <w:tc>
          <w:tcPr>
            <w:tcW w:w="5400" w:type="dxa"/>
          </w:tcPr>
          <w:p w14:paraId="1B544385" w14:textId="77777777" w:rsidR="00411082" w:rsidRPr="0076238C" w:rsidRDefault="00411082" w:rsidP="009378A6">
            <w:pPr>
              <w:pStyle w:val="ProductList-OfferingBody"/>
              <w:jc w:val="center"/>
            </w:pPr>
            <w:r>
              <w:t>&lt; 99,9 %</w:t>
            </w:r>
          </w:p>
        </w:tc>
        <w:tc>
          <w:tcPr>
            <w:tcW w:w="5400" w:type="dxa"/>
          </w:tcPr>
          <w:p w14:paraId="0AAF06CF" w14:textId="77777777" w:rsidR="00411082" w:rsidRPr="0076238C" w:rsidRDefault="00411082" w:rsidP="009378A6">
            <w:pPr>
              <w:pStyle w:val="ProductList-OfferingBody"/>
              <w:jc w:val="center"/>
            </w:pPr>
            <w:r>
              <w:t>25 %</w:t>
            </w:r>
          </w:p>
        </w:tc>
      </w:tr>
      <w:tr w:rsidR="00411082" w:rsidRPr="00735EAD" w14:paraId="1DA46B6F" w14:textId="77777777" w:rsidTr="009378A6">
        <w:tc>
          <w:tcPr>
            <w:tcW w:w="5400" w:type="dxa"/>
          </w:tcPr>
          <w:p w14:paraId="0AC81CD1" w14:textId="77777777" w:rsidR="00411082" w:rsidRPr="0076238C" w:rsidRDefault="00411082" w:rsidP="009378A6">
            <w:pPr>
              <w:pStyle w:val="ProductList-OfferingBody"/>
              <w:jc w:val="center"/>
            </w:pPr>
            <w:r>
              <w:t>&lt; 99 %</w:t>
            </w:r>
          </w:p>
        </w:tc>
        <w:tc>
          <w:tcPr>
            <w:tcW w:w="5400" w:type="dxa"/>
          </w:tcPr>
          <w:p w14:paraId="3A06457C" w14:textId="77777777" w:rsidR="00411082" w:rsidRPr="0076238C" w:rsidRDefault="00411082" w:rsidP="009378A6">
            <w:pPr>
              <w:pStyle w:val="ProductList-OfferingBody"/>
              <w:jc w:val="center"/>
            </w:pPr>
            <w:r>
              <w:t>50 %</w:t>
            </w:r>
          </w:p>
        </w:tc>
      </w:tr>
      <w:tr w:rsidR="00411082" w:rsidRPr="00735EAD" w14:paraId="76048BAD" w14:textId="77777777" w:rsidTr="009378A6">
        <w:tc>
          <w:tcPr>
            <w:tcW w:w="5400" w:type="dxa"/>
          </w:tcPr>
          <w:p w14:paraId="47BA3C71" w14:textId="77777777" w:rsidR="00411082" w:rsidRPr="0076238C" w:rsidRDefault="00411082" w:rsidP="009378A6">
            <w:pPr>
              <w:pStyle w:val="ProductList-OfferingBody"/>
              <w:jc w:val="center"/>
            </w:pPr>
            <w:r>
              <w:t>&lt; 95 %</w:t>
            </w:r>
          </w:p>
        </w:tc>
        <w:tc>
          <w:tcPr>
            <w:tcW w:w="5400" w:type="dxa"/>
          </w:tcPr>
          <w:p w14:paraId="4EADA0F4" w14:textId="77777777" w:rsidR="00411082" w:rsidRPr="0076238C" w:rsidRDefault="00411082" w:rsidP="009378A6">
            <w:pPr>
              <w:pStyle w:val="ProductList-OfferingBody"/>
              <w:jc w:val="center"/>
            </w:pPr>
            <w:r>
              <w:t>100 %</w:t>
            </w:r>
          </w:p>
        </w:tc>
      </w:tr>
    </w:tbl>
    <w:p w14:paraId="276F604A" w14:textId="77777777" w:rsidR="00411082" w:rsidRPr="00182C80" w:rsidRDefault="00C2473B"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8" w:name="_Toc54863489"/>
      <w:r>
        <w:t xml:space="preserve">Dynamics 365 </w:t>
      </w:r>
      <w:r w:rsidRPr="00A46188">
        <w:t>Commerce</w:t>
      </w:r>
      <w:bookmarkEnd w:id="28"/>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C2473B"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9378A6">
        <w:trPr>
          <w:tblHeader/>
        </w:trPr>
        <w:tc>
          <w:tcPr>
            <w:tcW w:w="5400" w:type="dxa"/>
            <w:shd w:val="clear" w:color="auto" w:fill="0072C6"/>
          </w:tcPr>
          <w:p w14:paraId="56E1B1EB" w14:textId="77777777" w:rsidR="00411082" w:rsidRPr="001A0074"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9378A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9378A6">
        <w:tc>
          <w:tcPr>
            <w:tcW w:w="5400" w:type="dxa"/>
          </w:tcPr>
          <w:p w14:paraId="6056AC8B" w14:textId="77777777" w:rsidR="00411082" w:rsidRPr="0076238C" w:rsidRDefault="00411082" w:rsidP="009378A6">
            <w:pPr>
              <w:pStyle w:val="ProductList-OfferingBody"/>
              <w:jc w:val="center"/>
            </w:pPr>
            <w:r>
              <w:t>&lt; 99,9 %</w:t>
            </w:r>
          </w:p>
        </w:tc>
        <w:tc>
          <w:tcPr>
            <w:tcW w:w="5400" w:type="dxa"/>
          </w:tcPr>
          <w:p w14:paraId="782631AD" w14:textId="77777777" w:rsidR="00411082" w:rsidRPr="0076238C" w:rsidRDefault="00411082" w:rsidP="009378A6">
            <w:pPr>
              <w:pStyle w:val="ProductList-OfferingBody"/>
              <w:jc w:val="center"/>
            </w:pPr>
            <w:r>
              <w:t>25 %</w:t>
            </w:r>
          </w:p>
        </w:tc>
      </w:tr>
      <w:tr w:rsidR="00411082" w:rsidRPr="00735EAD" w14:paraId="21DACAF1" w14:textId="77777777" w:rsidTr="009378A6">
        <w:tc>
          <w:tcPr>
            <w:tcW w:w="5400" w:type="dxa"/>
          </w:tcPr>
          <w:p w14:paraId="542BD1AE" w14:textId="77777777" w:rsidR="00411082" w:rsidRPr="0076238C" w:rsidRDefault="00411082" w:rsidP="009378A6">
            <w:pPr>
              <w:pStyle w:val="ProductList-OfferingBody"/>
              <w:jc w:val="center"/>
            </w:pPr>
            <w:r>
              <w:lastRenderedPageBreak/>
              <w:t>&lt; 99 %</w:t>
            </w:r>
          </w:p>
        </w:tc>
        <w:tc>
          <w:tcPr>
            <w:tcW w:w="5400" w:type="dxa"/>
          </w:tcPr>
          <w:p w14:paraId="3017F33A" w14:textId="77777777" w:rsidR="00411082" w:rsidRPr="0076238C" w:rsidRDefault="00411082" w:rsidP="009378A6">
            <w:pPr>
              <w:pStyle w:val="ProductList-OfferingBody"/>
              <w:jc w:val="center"/>
            </w:pPr>
            <w:r>
              <w:t>50 %</w:t>
            </w:r>
          </w:p>
        </w:tc>
      </w:tr>
      <w:tr w:rsidR="00411082" w:rsidRPr="00735EAD" w14:paraId="2FC33A4C" w14:textId="77777777" w:rsidTr="009378A6">
        <w:tc>
          <w:tcPr>
            <w:tcW w:w="5400" w:type="dxa"/>
          </w:tcPr>
          <w:p w14:paraId="61A85558" w14:textId="77777777" w:rsidR="00411082" w:rsidRPr="0076238C" w:rsidRDefault="00411082" w:rsidP="009378A6">
            <w:pPr>
              <w:pStyle w:val="ProductList-OfferingBody"/>
              <w:jc w:val="center"/>
            </w:pPr>
            <w:r>
              <w:t>&lt; 95 %</w:t>
            </w:r>
          </w:p>
        </w:tc>
        <w:tc>
          <w:tcPr>
            <w:tcW w:w="5400" w:type="dxa"/>
          </w:tcPr>
          <w:p w14:paraId="11DEE9FD" w14:textId="77777777" w:rsidR="00411082" w:rsidRPr="0076238C" w:rsidRDefault="00411082" w:rsidP="009378A6">
            <w:pPr>
              <w:pStyle w:val="ProductList-OfferingBody"/>
              <w:jc w:val="center"/>
            </w:pPr>
            <w:r>
              <w:t>100 %</w:t>
            </w:r>
          </w:p>
        </w:tc>
      </w:tr>
    </w:tbl>
    <w:p w14:paraId="6FA02F9A" w14:textId="77777777" w:rsidR="00411082" w:rsidRPr="00182C80" w:rsidRDefault="00C2473B"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29" w:name="_Toc54863490"/>
      <w:r>
        <w:t>Dynamics 365 Customer Insights</w:t>
      </w:r>
      <w:bookmarkEnd w:id="29"/>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C2473B"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9378A6">
        <w:trPr>
          <w:tblHeader/>
        </w:trPr>
        <w:tc>
          <w:tcPr>
            <w:tcW w:w="5400" w:type="dxa"/>
            <w:shd w:val="clear" w:color="auto" w:fill="0072C6"/>
          </w:tcPr>
          <w:p w14:paraId="70CADF4A" w14:textId="77777777" w:rsidR="00411082" w:rsidRPr="00EF7CF9"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9378A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9378A6">
        <w:tc>
          <w:tcPr>
            <w:tcW w:w="5400" w:type="dxa"/>
          </w:tcPr>
          <w:p w14:paraId="7A691E6B" w14:textId="77777777" w:rsidR="00411082" w:rsidRPr="00EF7CF9" w:rsidRDefault="00411082" w:rsidP="009378A6">
            <w:pPr>
              <w:pStyle w:val="ProductList-OfferingBody"/>
              <w:jc w:val="center"/>
            </w:pPr>
            <w:r>
              <w:t>&lt; 99,9 %</w:t>
            </w:r>
          </w:p>
        </w:tc>
        <w:tc>
          <w:tcPr>
            <w:tcW w:w="5400" w:type="dxa"/>
          </w:tcPr>
          <w:p w14:paraId="2DC0E2F0" w14:textId="77777777" w:rsidR="00411082" w:rsidRPr="00EF7CF9" w:rsidRDefault="00411082" w:rsidP="009378A6">
            <w:pPr>
              <w:pStyle w:val="ProductList-OfferingBody"/>
              <w:jc w:val="center"/>
            </w:pPr>
            <w:r>
              <w:t>25 %</w:t>
            </w:r>
          </w:p>
        </w:tc>
      </w:tr>
      <w:tr w:rsidR="00411082" w:rsidRPr="00B44CF9" w14:paraId="206C28A3" w14:textId="77777777" w:rsidTr="009378A6">
        <w:tc>
          <w:tcPr>
            <w:tcW w:w="5400" w:type="dxa"/>
          </w:tcPr>
          <w:p w14:paraId="28722760" w14:textId="77777777" w:rsidR="00411082" w:rsidRPr="00EF7CF9" w:rsidRDefault="00411082" w:rsidP="009378A6">
            <w:pPr>
              <w:pStyle w:val="ProductList-OfferingBody"/>
              <w:jc w:val="center"/>
            </w:pPr>
            <w:r>
              <w:t>&lt; 99 %</w:t>
            </w:r>
          </w:p>
        </w:tc>
        <w:tc>
          <w:tcPr>
            <w:tcW w:w="5400" w:type="dxa"/>
          </w:tcPr>
          <w:p w14:paraId="3E5D6804" w14:textId="77777777" w:rsidR="00411082" w:rsidRPr="00EF7CF9" w:rsidRDefault="00411082" w:rsidP="009378A6">
            <w:pPr>
              <w:pStyle w:val="ProductList-OfferingBody"/>
              <w:jc w:val="center"/>
            </w:pPr>
            <w:r>
              <w:t>50 %</w:t>
            </w:r>
          </w:p>
        </w:tc>
      </w:tr>
      <w:tr w:rsidR="00411082" w:rsidRPr="00B44CF9" w14:paraId="3433F994" w14:textId="77777777" w:rsidTr="009378A6">
        <w:tc>
          <w:tcPr>
            <w:tcW w:w="5400" w:type="dxa"/>
          </w:tcPr>
          <w:p w14:paraId="705FBE1E" w14:textId="77777777" w:rsidR="00411082" w:rsidRPr="00EF7CF9" w:rsidRDefault="00411082" w:rsidP="009378A6">
            <w:pPr>
              <w:pStyle w:val="ProductList-OfferingBody"/>
              <w:jc w:val="center"/>
            </w:pPr>
            <w:r>
              <w:t>&lt; 95 %</w:t>
            </w:r>
          </w:p>
        </w:tc>
        <w:tc>
          <w:tcPr>
            <w:tcW w:w="5400" w:type="dxa"/>
          </w:tcPr>
          <w:p w14:paraId="240D7AFD" w14:textId="77777777" w:rsidR="00411082" w:rsidRPr="00EF7CF9" w:rsidRDefault="00411082" w:rsidP="009378A6">
            <w:pPr>
              <w:pStyle w:val="ProductList-OfferingBody"/>
              <w:jc w:val="center"/>
            </w:pPr>
            <w:r>
              <w:t>100 %</w:t>
            </w:r>
          </w:p>
        </w:tc>
      </w:tr>
    </w:tbl>
    <w:p w14:paraId="48FA690C" w14:textId="77777777" w:rsidR="00411082" w:rsidRPr="000D2034" w:rsidRDefault="00C2473B"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30" w:name="_Toc54863491"/>
      <w:r>
        <w:t>Dynamics 365 Customer Service Enterprise; Dynamics 365 Customer Service Professional</w:t>
      </w:r>
      <w:bookmarkEnd w:id="22"/>
      <w:bookmarkEnd w:id="23"/>
      <w:r>
        <w:t>; Dynamics 365 Customer Service Insights</w:t>
      </w:r>
      <w:bookmarkEnd w:id="24"/>
      <w:bookmarkEnd w:id="25"/>
      <w:r w:rsidR="000A2101">
        <w:t xml:space="preserve">; </w:t>
      </w:r>
      <w:r w:rsidR="000A2101" w:rsidRPr="000A2101">
        <w:rPr>
          <w:lang w:val="en-US"/>
        </w:rPr>
        <w:t>Dynamics 365 Field Service</w:t>
      </w:r>
      <w:bookmarkStart w:id="31" w:name="_Hlk51044693"/>
      <w:r w:rsidR="00FF2DDB" w:rsidRPr="00FF2DDB">
        <w:rPr>
          <w:lang w:val="en-US"/>
        </w:rPr>
        <w:t xml:space="preserve">; </w:t>
      </w:r>
      <w:bookmarkStart w:id="32" w:name="_Hlk51044489"/>
      <w:r w:rsidR="00FF2DDB" w:rsidRPr="00FF2DDB">
        <w:rPr>
          <w:lang w:val="en-US"/>
        </w:rPr>
        <w:t>Dynamics 365 Marketing</w:t>
      </w:r>
      <w:bookmarkEnd w:id="30"/>
      <w:bookmarkEnd w:id="31"/>
      <w:bookmarkEnd w:id="32"/>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C2473B"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3" w:name="_Toc506981000"/>
    <w:bookmarkStart w:id="34" w:name="_Toc510793626"/>
    <w:bookmarkStart w:id="35"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6" w:name="_Toc54863492"/>
      <w:bookmarkStart w:id="37" w:name="_Toc24376584"/>
      <w:bookmarkStart w:id="38" w:name="MicrosoftDynamics365forFianceandOps"/>
      <w:bookmarkStart w:id="39" w:name="_Toc491629842"/>
      <w:bookmarkStart w:id="40" w:name="_Toc494721331"/>
      <w:bookmarkEnd w:id="26"/>
      <w:bookmarkEnd w:id="27"/>
      <w:bookmarkEnd w:id="33"/>
      <w:bookmarkEnd w:id="34"/>
      <w:bookmarkEnd w:id="35"/>
      <w:r>
        <w:t>Ochrana před podvody Dynamics 365</w:t>
      </w:r>
      <w:bookmarkEnd w:id="36"/>
    </w:p>
    <w:p w14:paraId="7C4CBDB2" w14:textId="77777777" w:rsidR="00411082" w:rsidRPr="00831967" w:rsidRDefault="00411082" w:rsidP="00411082">
      <w:pPr>
        <w:pStyle w:val="ProductList-Body"/>
        <w:spacing w:after="120"/>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27164875" w14:textId="77777777" w:rsidR="00411082" w:rsidRPr="00831967" w:rsidRDefault="00411082" w:rsidP="00411082">
      <w:pPr>
        <w:pStyle w:val="ProductList-Body"/>
      </w:pPr>
      <w:r>
        <w:rPr>
          <w:b/>
          <w:color w:val="00188F"/>
        </w:rPr>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411082">
      <w:pPr>
        <w:pStyle w:val="ProductList-Body"/>
      </w:pPr>
    </w:p>
    <w:p w14:paraId="4F28D3C0" w14:textId="77777777" w:rsidR="00411082" w:rsidRPr="00831967" w:rsidRDefault="00C2473B"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lastRenderedPageBreak/>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9378A6">
        <w:trPr>
          <w:tblHeader/>
        </w:trPr>
        <w:tc>
          <w:tcPr>
            <w:tcW w:w="5400" w:type="dxa"/>
            <w:shd w:val="clear" w:color="auto" w:fill="0072C6"/>
          </w:tcPr>
          <w:p w14:paraId="17996F48" w14:textId="77777777" w:rsidR="00411082" w:rsidRPr="00EF7CF9"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9378A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9378A6">
        <w:tc>
          <w:tcPr>
            <w:tcW w:w="5400" w:type="dxa"/>
          </w:tcPr>
          <w:p w14:paraId="795C18F9" w14:textId="77777777" w:rsidR="00411082" w:rsidRPr="00EF7CF9" w:rsidRDefault="00411082" w:rsidP="009378A6">
            <w:pPr>
              <w:pStyle w:val="ProductList-OfferingBody"/>
              <w:jc w:val="center"/>
            </w:pPr>
            <w:r>
              <w:t>&lt; 99,9 %</w:t>
            </w:r>
          </w:p>
        </w:tc>
        <w:tc>
          <w:tcPr>
            <w:tcW w:w="5400" w:type="dxa"/>
          </w:tcPr>
          <w:p w14:paraId="5D3700CA" w14:textId="77777777" w:rsidR="00411082" w:rsidRPr="00EF7CF9" w:rsidRDefault="00411082" w:rsidP="009378A6">
            <w:pPr>
              <w:pStyle w:val="ProductList-OfferingBody"/>
              <w:jc w:val="center"/>
            </w:pPr>
            <w:r>
              <w:t>25%</w:t>
            </w:r>
          </w:p>
        </w:tc>
      </w:tr>
      <w:tr w:rsidR="00411082" w:rsidRPr="00B44CF9" w14:paraId="6EFEAA54" w14:textId="77777777" w:rsidTr="009378A6">
        <w:tc>
          <w:tcPr>
            <w:tcW w:w="5400" w:type="dxa"/>
          </w:tcPr>
          <w:p w14:paraId="2FAA6FCA" w14:textId="77777777" w:rsidR="00411082" w:rsidRPr="00EF7CF9" w:rsidRDefault="00411082" w:rsidP="009378A6">
            <w:pPr>
              <w:pStyle w:val="ProductList-OfferingBody"/>
              <w:jc w:val="center"/>
            </w:pPr>
            <w:r>
              <w:t>&lt; 99 %</w:t>
            </w:r>
          </w:p>
        </w:tc>
        <w:tc>
          <w:tcPr>
            <w:tcW w:w="5400" w:type="dxa"/>
          </w:tcPr>
          <w:p w14:paraId="388F5D64" w14:textId="77777777" w:rsidR="00411082" w:rsidRPr="00EF7CF9" w:rsidRDefault="00411082" w:rsidP="009378A6">
            <w:pPr>
              <w:pStyle w:val="ProductList-OfferingBody"/>
              <w:jc w:val="center"/>
            </w:pPr>
            <w:r>
              <w:t>50%</w:t>
            </w:r>
          </w:p>
        </w:tc>
      </w:tr>
      <w:tr w:rsidR="00411082" w:rsidRPr="00B44CF9" w14:paraId="0D5E7D87" w14:textId="77777777" w:rsidTr="009378A6">
        <w:tc>
          <w:tcPr>
            <w:tcW w:w="5400" w:type="dxa"/>
          </w:tcPr>
          <w:p w14:paraId="3AD95306" w14:textId="77777777" w:rsidR="00411082" w:rsidRPr="00EF7CF9" w:rsidRDefault="00411082" w:rsidP="009378A6">
            <w:pPr>
              <w:pStyle w:val="ProductList-OfferingBody"/>
              <w:jc w:val="center"/>
            </w:pPr>
            <w:r>
              <w:t>&lt; 95 %</w:t>
            </w:r>
          </w:p>
        </w:tc>
        <w:tc>
          <w:tcPr>
            <w:tcW w:w="5400" w:type="dxa"/>
          </w:tcPr>
          <w:p w14:paraId="3E52E66B" w14:textId="77777777" w:rsidR="00411082" w:rsidRPr="00EF7CF9" w:rsidRDefault="00411082" w:rsidP="009378A6">
            <w:pPr>
              <w:pStyle w:val="ProductList-OfferingBody"/>
              <w:jc w:val="center"/>
            </w:pPr>
            <w:r>
              <w:t>100%</w:t>
            </w:r>
          </w:p>
        </w:tc>
      </w:tr>
    </w:tbl>
    <w:p w14:paraId="7D0251AC" w14:textId="77777777" w:rsidR="00411082" w:rsidRPr="00831967" w:rsidRDefault="00C2473B"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1" w:name="_Toc54863493"/>
      <w:r>
        <w:t xml:space="preserve">Dynamics 365 </w:t>
      </w:r>
      <w:r w:rsidRPr="00A46188">
        <w:t>Human Resources</w:t>
      </w:r>
      <w:bookmarkEnd w:id="41"/>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411082">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46EC39B6"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6F6ED46E" w14:textId="77777777" w:rsidR="00411082" w:rsidRPr="00DA7645" w:rsidRDefault="00C2473B"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9378A6">
        <w:trPr>
          <w:tblHeader/>
        </w:trPr>
        <w:tc>
          <w:tcPr>
            <w:tcW w:w="5400" w:type="dxa"/>
            <w:shd w:val="clear" w:color="auto" w:fill="0072C6"/>
          </w:tcPr>
          <w:p w14:paraId="027F4407" w14:textId="77777777" w:rsidR="00411082" w:rsidRPr="001A0074"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9378A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9378A6">
        <w:tc>
          <w:tcPr>
            <w:tcW w:w="5400" w:type="dxa"/>
          </w:tcPr>
          <w:p w14:paraId="2437DFF4" w14:textId="77777777" w:rsidR="00411082" w:rsidRPr="0076238C" w:rsidRDefault="00411082" w:rsidP="009378A6">
            <w:pPr>
              <w:pStyle w:val="ProductList-OfferingBody"/>
              <w:jc w:val="center"/>
            </w:pPr>
            <w:r>
              <w:t>&lt; 99,5 %</w:t>
            </w:r>
          </w:p>
        </w:tc>
        <w:tc>
          <w:tcPr>
            <w:tcW w:w="5400" w:type="dxa"/>
          </w:tcPr>
          <w:p w14:paraId="0E975A60" w14:textId="77777777" w:rsidR="00411082" w:rsidRPr="0076238C" w:rsidRDefault="00411082" w:rsidP="009378A6">
            <w:pPr>
              <w:pStyle w:val="ProductList-OfferingBody"/>
              <w:jc w:val="center"/>
            </w:pPr>
            <w:r>
              <w:t>25 %</w:t>
            </w:r>
          </w:p>
        </w:tc>
      </w:tr>
      <w:tr w:rsidR="00411082" w:rsidRPr="00735EAD" w14:paraId="51AAA605" w14:textId="77777777" w:rsidTr="009378A6">
        <w:tc>
          <w:tcPr>
            <w:tcW w:w="5400" w:type="dxa"/>
          </w:tcPr>
          <w:p w14:paraId="542ED754" w14:textId="77777777" w:rsidR="00411082" w:rsidRPr="0076238C" w:rsidRDefault="00411082" w:rsidP="009378A6">
            <w:pPr>
              <w:pStyle w:val="ProductList-OfferingBody"/>
              <w:jc w:val="center"/>
            </w:pPr>
            <w:r>
              <w:t>&lt; 99 %</w:t>
            </w:r>
          </w:p>
        </w:tc>
        <w:tc>
          <w:tcPr>
            <w:tcW w:w="5400" w:type="dxa"/>
          </w:tcPr>
          <w:p w14:paraId="2407934D" w14:textId="77777777" w:rsidR="00411082" w:rsidRPr="0076238C" w:rsidRDefault="00411082" w:rsidP="009378A6">
            <w:pPr>
              <w:pStyle w:val="ProductList-OfferingBody"/>
              <w:jc w:val="center"/>
            </w:pPr>
            <w:r>
              <w:t>50 %</w:t>
            </w:r>
          </w:p>
        </w:tc>
      </w:tr>
      <w:tr w:rsidR="00411082" w:rsidRPr="00735EAD" w14:paraId="7307DE1A" w14:textId="77777777" w:rsidTr="009378A6">
        <w:tc>
          <w:tcPr>
            <w:tcW w:w="5400" w:type="dxa"/>
          </w:tcPr>
          <w:p w14:paraId="1AAFFEBC" w14:textId="77777777" w:rsidR="00411082" w:rsidRPr="0076238C" w:rsidRDefault="00411082" w:rsidP="009378A6">
            <w:pPr>
              <w:pStyle w:val="ProductList-OfferingBody"/>
              <w:jc w:val="center"/>
            </w:pPr>
            <w:r>
              <w:t>&lt; 95 %</w:t>
            </w:r>
          </w:p>
        </w:tc>
        <w:tc>
          <w:tcPr>
            <w:tcW w:w="5400" w:type="dxa"/>
          </w:tcPr>
          <w:p w14:paraId="6CCC41DE" w14:textId="77777777" w:rsidR="00411082" w:rsidRPr="0076238C" w:rsidRDefault="00411082" w:rsidP="009378A6">
            <w:pPr>
              <w:pStyle w:val="ProductList-OfferingBody"/>
              <w:jc w:val="center"/>
            </w:pPr>
            <w:r>
              <w:t>100 %</w:t>
            </w:r>
          </w:p>
        </w:tc>
      </w:tr>
    </w:tbl>
    <w:p w14:paraId="0FE08069" w14:textId="77777777" w:rsidR="00411082" w:rsidRPr="00182C80" w:rsidRDefault="00C2473B"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2" w:name="_Toc45621200"/>
      <w:bookmarkStart w:id="43" w:name="_Toc54863494"/>
      <w:bookmarkEnd w:id="37"/>
      <w:r>
        <w:t>Dynamics 365 Remote Assist</w:t>
      </w:r>
      <w:bookmarkEnd w:id="42"/>
      <w:bookmarkEnd w:id="43"/>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0C0AAA24" w14:textId="77777777"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C2473B"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C7071">
      <w:pPr>
        <w:pStyle w:val="ProductList-Body"/>
      </w:pPr>
      <w:r>
        <w:rPr>
          <w:b/>
          <w:color w:val="00188F"/>
        </w:rPr>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F24DD0">
        <w:trPr>
          <w:tblHeader/>
        </w:trPr>
        <w:tc>
          <w:tcPr>
            <w:tcW w:w="5400" w:type="dxa"/>
            <w:shd w:val="clear" w:color="auto" w:fill="0072C6"/>
          </w:tcPr>
          <w:p w14:paraId="0754B889" w14:textId="77777777" w:rsidR="00EC7071" w:rsidRPr="00EF7CF9" w:rsidRDefault="00EC7071" w:rsidP="00F24DD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F24DD0">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F24DD0">
        <w:tc>
          <w:tcPr>
            <w:tcW w:w="5400" w:type="dxa"/>
          </w:tcPr>
          <w:p w14:paraId="3A471E58" w14:textId="77777777" w:rsidR="00EC7071" w:rsidRPr="00EF7CF9" w:rsidRDefault="00EC7071" w:rsidP="00F24DD0">
            <w:pPr>
              <w:pStyle w:val="ProductList-OfferingBody"/>
              <w:jc w:val="center"/>
            </w:pPr>
            <w:r>
              <w:t>&lt; 99,9 %</w:t>
            </w:r>
          </w:p>
        </w:tc>
        <w:tc>
          <w:tcPr>
            <w:tcW w:w="5400" w:type="dxa"/>
          </w:tcPr>
          <w:p w14:paraId="5563EDDC" w14:textId="77777777" w:rsidR="00EC7071" w:rsidRPr="00EF7CF9" w:rsidRDefault="00EC7071" w:rsidP="00F24DD0">
            <w:pPr>
              <w:pStyle w:val="ProductList-OfferingBody"/>
              <w:jc w:val="center"/>
            </w:pPr>
            <w:r>
              <w:t>25 %</w:t>
            </w:r>
          </w:p>
        </w:tc>
      </w:tr>
      <w:tr w:rsidR="00EC7071" w:rsidRPr="00B44CF9" w14:paraId="2974600C" w14:textId="77777777" w:rsidTr="00F24DD0">
        <w:tc>
          <w:tcPr>
            <w:tcW w:w="5400" w:type="dxa"/>
          </w:tcPr>
          <w:p w14:paraId="6CA1E83E" w14:textId="77777777" w:rsidR="00EC7071" w:rsidRPr="00EF7CF9" w:rsidRDefault="00EC7071" w:rsidP="00F24DD0">
            <w:pPr>
              <w:pStyle w:val="ProductList-OfferingBody"/>
              <w:jc w:val="center"/>
            </w:pPr>
            <w:r>
              <w:t>&lt; 99 %</w:t>
            </w:r>
          </w:p>
        </w:tc>
        <w:tc>
          <w:tcPr>
            <w:tcW w:w="5400" w:type="dxa"/>
          </w:tcPr>
          <w:p w14:paraId="1A577D73" w14:textId="77777777" w:rsidR="00EC7071" w:rsidRPr="00EF7CF9" w:rsidRDefault="00EC7071" w:rsidP="00F24DD0">
            <w:pPr>
              <w:pStyle w:val="ProductList-OfferingBody"/>
              <w:jc w:val="center"/>
            </w:pPr>
            <w:r>
              <w:t>50 %</w:t>
            </w:r>
          </w:p>
        </w:tc>
      </w:tr>
    </w:tbl>
    <w:p w14:paraId="709579D5" w14:textId="77777777" w:rsidR="00EC7071" w:rsidRPr="00CF31D1" w:rsidRDefault="00C2473B"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C7071">
      <w:pPr>
        <w:pStyle w:val="ProductList-Offering2Heading"/>
        <w:keepNext/>
        <w:pBdr>
          <w:between w:val="single" w:sz="4" w:space="1" w:color="auto"/>
        </w:pBdr>
        <w:tabs>
          <w:tab w:val="clear" w:pos="360"/>
          <w:tab w:val="clear" w:pos="720"/>
          <w:tab w:val="clear" w:pos="1080"/>
        </w:tabs>
        <w:outlineLvl w:val="2"/>
      </w:pPr>
      <w:bookmarkStart w:id="44" w:name="_Toc54863495"/>
      <w:r>
        <w:lastRenderedPageBreak/>
        <w:t>Dynamics 365 Sales Enterprise; Dynamics 365 Sales Professional</w:t>
      </w:r>
      <w:bookmarkEnd w:id="44"/>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C2473B"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9378A6">
        <w:trPr>
          <w:tblHeader/>
        </w:trPr>
        <w:tc>
          <w:tcPr>
            <w:tcW w:w="5400" w:type="dxa"/>
            <w:shd w:val="clear" w:color="auto" w:fill="0072C6"/>
          </w:tcPr>
          <w:p w14:paraId="44F5AB99" w14:textId="77777777" w:rsidR="00411082" w:rsidRPr="001A0074" w:rsidRDefault="00411082" w:rsidP="009378A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9378A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9378A6">
        <w:tc>
          <w:tcPr>
            <w:tcW w:w="5400" w:type="dxa"/>
          </w:tcPr>
          <w:p w14:paraId="47B8956C" w14:textId="77777777" w:rsidR="00411082" w:rsidRPr="0076238C" w:rsidRDefault="00411082" w:rsidP="009378A6">
            <w:pPr>
              <w:pStyle w:val="ProductList-OfferingBody"/>
              <w:jc w:val="center"/>
            </w:pPr>
            <w:r>
              <w:t>&lt; 99,9 %</w:t>
            </w:r>
          </w:p>
        </w:tc>
        <w:tc>
          <w:tcPr>
            <w:tcW w:w="5400" w:type="dxa"/>
          </w:tcPr>
          <w:p w14:paraId="0F491878" w14:textId="77777777" w:rsidR="00411082" w:rsidRPr="0076238C" w:rsidRDefault="00411082" w:rsidP="009378A6">
            <w:pPr>
              <w:pStyle w:val="ProductList-OfferingBody"/>
              <w:jc w:val="center"/>
            </w:pPr>
            <w:r>
              <w:t>25 %</w:t>
            </w:r>
          </w:p>
        </w:tc>
      </w:tr>
      <w:tr w:rsidR="00411082" w:rsidRPr="00735EAD" w14:paraId="0937B081" w14:textId="77777777" w:rsidTr="009378A6">
        <w:tc>
          <w:tcPr>
            <w:tcW w:w="5400" w:type="dxa"/>
          </w:tcPr>
          <w:p w14:paraId="62E0687C" w14:textId="77777777" w:rsidR="00411082" w:rsidRPr="0076238C" w:rsidRDefault="00411082" w:rsidP="009378A6">
            <w:pPr>
              <w:pStyle w:val="ProductList-OfferingBody"/>
              <w:jc w:val="center"/>
            </w:pPr>
            <w:r>
              <w:t>&lt; 99 %</w:t>
            </w:r>
          </w:p>
        </w:tc>
        <w:tc>
          <w:tcPr>
            <w:tcW w:w="5400" w:type="dxa"/>
          </w:tcPr>
          <w:p w14:paraId="56154653" w14:textId="77777777" w:rsidR="00411082" w:rsidRPr="0076238C" w:rsidRDefault="00411082" w:rsidP="009378A6">
            <w:pPr>
              <w:pStyle w:val="ProductList-OfferingBody"/>
              <w:jc w:val="center"/>
            </w:pPr>
            <w:r>
              <w:t>50 %</w:t>
            </w:r>
          </w:p>
        </w:tc>
      </w:tr>
      <w:tr w:rsidR="00411082" w:rsidRPr="00735EAD" w14:paraId="508CEF49" w14:textId="77777777" w:rsidTr="009378A6">
        <w:tc>
          <w:tcPr>
            <w:tcW w:w="5400" w:type="dxa"/>
          </w:tcPr>
          <w:p w14:paraId="387AE9E1" w14:textId="77777777" w:rsidR="00411082" w:rsidRPr="0076238C" w:rsidRDefault="00411082" w:rsidP="009378A6">
            <w:pPr>
              <w:pStyle w:val="ProductList-OfferingBody"/>
              <w:jc w:val="center"/>
            </w:pPr>
            <w:r>
              <w:t>&lt; 95 %</w:t>
            </w:r>
          </w:p>
        </w:tc>
        <w:tc>
          <w:tcPr>
            <w:tcW w:w="5400" w:type="dxa"/>
          </w:tcPr>
          <w:p w14:paraId="5E6B2C3C" w14:textId="77777777" w:rsidR="00411082" w:rsidRPr="0076238C" w:rsidRDefault="00411082" w:rsidP="009378A6">
            <w:pPr>
              <w:pStyle w:val="ProductList-OfferingBody"/>
              <w:jc w:val="center"/>
            </w:pPr>
            <w:r>
              <w:t>100 %</w:t>
            </w:r>
          </w:p>
        </w:tc>
      </w:tr>
    </w:tbl>
    <w:p w14:paraId="49C4962A" w14:textId="77777777" w:rsidR="00411082" w:rsidRPr="00182C80" w:rsidRDefault="00C2473B"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45" w:name="_Toc54863496"/>
      <w:r>
        <w:t xml:space="preserve">Dynamics 365 </w:t>
      </w:r>
      <w:bookmarkStart w:id="46" w:name="_Hlk19533710"/>
      <w:bookmarkEnd w:id="38"/>
      <w:bookmarkEnd w:id="39"/>
      <w:bookmarkEnd w:id="40"/>
      <w:r w:rsidR="009639F1" w:rsidRPr="0022548E">
        <w:t>Supply Chain Management; Dynamics 365 Finance</w:t>
      </w:r>
      <w:bookmarkStart w:id="47" w:name="_Hlk51044510"/>
      <w:bookmarkEnd w:id="46"/>
      <w:r w:rsidR="00FF2DDB" w:rsidRPr="00FF2DDB">
        <w:rPr>
          <w:lang w:val="en-US"/>
        </w:rPr>
        <w:t>; Dynamics 365 Project Operations</w:t>
      </w:r>
      <w:bookmarkEnd w:id="45"/>
      <w:bookmarkEnd w:id="47"/>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C2473B"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97E3E">
            <w:pPr>
              <w:pStyle w:val="ProductList-OfferingBody"/>
              <w:keepNext/>
              <w:jc w:val="center"/>
            </w:pPr>
            <w:r>
              <w:lastRenderedPageBreak/>
              <w:t>&lt; 95 %</w:t>
            </w:r>
          </w:p>
        </w:tc>
        <w:tc>
          <w:tcPr>
            <w:tcW w:w="5400" w:type="dxa"/>
          </w:tcPr>
          <w:p w14:paraId="11991F62" w14:textId="77777777" w:rsidR="00AD12C6" w:rsidRPr="0076238C" w:rsidRDefault="00AD12C6" w:rsidP="00663455">
            <w:pPr>
              <w:pStyle w:val="ProductList-OfferingBody"/>
              <w:jc w:val="center"/>
            </w:pPr>
            <w:r>
              <w:t>100 %</w:t>
            </w:r>
          </w:p>
        </w:tc>
      </w:tr>
    </w:tbl>
    <w:bookmarkStart w:id="48" w:name="_Toc484160631"/>
    <w:bookmarkStart w:id="49" w:name="MicrosoftDynamics365forRetail"/>
    <w:bookmarkStart w:id="50" w:name="_Toc461003234"/>
    <w:bookmarkStart w:id="51" w:name="_Toc457821510"/>
    <w:bookmarkStart w:id="52"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3" w:name="_Toc54863497"/>
      <w:bookmarkEnd w:id="48"/>
      <w:bookmarkEnd w:id="49"/>
      <w:bookmarkEnd w:id="50"/>
      <w:bookmarkEnd w:id="51"/>
      <w:bookmarkEnd w:id="52"/>
      <w:r>
        <w:t>Služby Office 365</w:t>
      </w:r>
      <w:bookmarkEnd w:id="53"/>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4" w:name="_Toc54863498"/>
      <w:r>
        <w:t>Duet Enterprise Online</w:t>
      </w:r>
      <w:bookmarkEnd w:id="54"/>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08E6E950" w14:textId="5C74A5A9"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5" w:name="_Toc54863499"/>
      <w:r>
        <w:t>Exchange Online</w:t>
      </w:r>
      <w:bookmarkEnd w:id="55"/>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6E48E7">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6" w:name="_Toc54863500"/>
      <w:r>
        <w:lastRenderedPageBreak/>
        <w:t>Exchange Online Archiving</w:t>
      </w:r>
      <w:bookmarkEnd w:id="56"/>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7" w:name="_Toc54863501"/>
      <w:r>
        <w:t>Exchange Online Protection</w:t>
      </w:r>
      <w:bookmarkEnd w:id="57"/>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8" w:name="_Toc525207098"/>
    <w:bookmarkStart w:id="59"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0" w:name="_Toc54863502"/>
      <w:r>
        <w:t xml:space="preserve">Microsoft </w:t>
      </w:r>
      <w:bookmarkEnd w:id="58"/>
      <w:r>
        <w:t>MyAnalytics</w:t>
      </w:r>
      <w:bookmarkEnd w:id="59"/>
      <w:bookmarkEnd w:id="60"/>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1" w:name="_Toc480808180"/>
    <w:bookmarkStart w:id="62" w:name="Stream"/>
    <w:bookmarkStart w:id="63" w:name="_Toc525207099"/>
    <w:bookmarkStart w:id="64"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5" w:name="_Toc54863503"/>
      <w:r>
        <w:t>Microsoft Stream</w:t>
      </w:r>
      <w:bookmarkEnd w:id="61"/>
      <w:bookmarkEnd w:id="65"/>
    </w:p>
    <w:bookmarkEnd w:id="62"/>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6" w:name="_Toc54863504"/>
      <w:r>
        <w:t xml:space="preserve">Microsoft </w:t>
      </w:r>
      <w:bookmarkEnd w:id="63"/>
      <w:r>
        <w:t>Teams</w:t>
      </w:r>
      <w:bookmarkEnd w:id="64"/>
      <w:bookmarkEnd w:id="66"/>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67" w:name="_Hlk37926720"/>
      <w:bookmarkStart w:id="68" w:name="_Toc54863505"/>
      <w:r>
        <w:lastRenderedPageBreak/>
        <w:t xml:space="preserve">Microsoft 365 Apps for </w:t>
      </w:r>
      <w:r w:rsidR="00026682">
        <w:t>b</w:t>
      </w:r>
      <w:r>
        <w:t>usiness</w:t>
      </w:r>
      <w:bookmarkEnd w:id="67"/>
      <w:bookmarkEnd w:id="68"/>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69" w:name="_Toc477262542"/>
    <w:bookmarkStart w:id="70" w:name="_Toc457821517"/>
    <w:bookmarkStart w:id="71"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2" w:name="_Hlk37926721"/>
      <w:bookmarkStart w:id="73" w:name="_Toc54863506"/>
      <w:bookmarkEnd w:id="69"/>
      <w:bookmarkEnd w:id="70"/>
      <w:bookmarkEnd w:id="71"/>
      <w:r>
        <w:t>Microsoft 365 Apps for enterprise</w:t>
      </w:r>
      <w:bookmarkEnd w:id="72"/>
      <w:bookmarkEnd w:id="73"/>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4" w:name="_Toc54863507"/>
      <w:r>
        <w:t>Office 365 Advanced Compliance</w:t>
      </w:r>
      <w:bookmarkEnd w:id="74"/>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C2473B"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74F24">
        <w:trPr>
          <w:tblHeader/>
        </w:trPr>
        <w:tc>
          <w:tcPr>
            <w:tcW w:w="5400" w:type="dxa"/>
            <w:shd w:val="clear" w:color="auto" w:fill="0072C6"/>
          </w:tcPr>
          <w:p w14:paraId="522100C3" w14:textId="77777777" w:rsidR="00D11AA9" w:rsidRPr="001A0074" w:rsidRDefault="00D11AA9" w:rsidP="00E74F2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74F24">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74F24">
        <w:tc>
          <w:tcPr>
            <w:tcW w:w="5400" w:type="dxa"/>
          </w:tcPr>
          <w:p w14:paraId="588B4CE9" w14:textId="77777777" w:rsidR="00D11AA9" w:rsidRPr="0076238C" w:rsidRDefault="00D11AA9" w:rsidP="00E74F24">
            <w:pPr>
              <w:pStyle w:val="ProductList-OfferingBody"/>
              <w:jc w:val="center"/>
            </w:pPr>
            <w:r>
              <w:t>&lt; 99,9 %</w:t>
            </w:r>
          </w:p>
        </w:tc>
        <w:tc>
          <w:tcPr>
            <w:tcW w:w="5400" w:type="dxa"/>
          </w:tcPr>
          <w:p w14:paraId="7312765C" w14:textId="77777777" w:rsidR="00D11AA9" w:rsidRPr="0076238C" w:rsidRDefault="00D11AA9" w:rsidP="00E74F24">
            <w:pPr>
              <w:pStyle w:val="ProductList-OfferingBody"/>
              <w:jc w:val="center"/>
            </w:pPr>
            <w:r>
              <w:t>25 %</w:t>
            </w:r>
          </w:p>
        </w:tc>
      </w:tr>
      <w:tr w:rsidR="00D11AA9" w:rsidRPr="00735EAD" w14:paraId="50A9739C" w14:textId="77777777" w:rsidTr="00E74F24">
        <w:tc>
          <w:tcPr>
            <w:tcW w:w="5400" w:type="dxa"/>
          </w:tcPr>
          <w:p w14:paraId="7152A274" w14:textId="77777777" w:rsidR="00D11AA9" w:rsidRPr="0076238C" w:rsidRDefault="00D11AA9" w:rsidP="00E74F24">
            <w:pPr>
              <w:pStyle w:val="ProductList-OfferingBody"/>
              <w:jc w:val="center"/>
            </w:pPr>
            <w:r>
              <w:t>&lt; 99 %</w:t>
            </w:r>
          </w:p>
        </w:tc>
        <w:tc>
          <w:tcPr>
            <w:tcW w:w="5400" w:type="dxa"/>
          </w:tcPr>
          <w:p w14:paraId="0A2F38FA" w14:textId="77777777" w:rsidR="00D11AA9" w:rsidRPr="0076238C" w:rsidRDefault="00D11AA9" w:rsidP="00E74F24">
            <w:pPr>
              <w:pStyle w:val="ProductList-OfferingBody"/>
              <w:jc w:val="center"/>
            </w:pPr>
            <w:r>
              <w:t>50 %</w:t>
            </w:r>
          </w:p>
        </w:tc>
      </w:tr>
      <w:tr w:rsidR="00D11AA9" w:rsidRPr="00735EAD" w14:paraId="457EBF58" w14:textId="77777777" w:rsidTr="00E74F24">
        <w:tc>
          <w:tcPr>
            <w:tcW w:w="5400" w:type="dxa"/>
          </w:tcPr>
          <w:p w14:paraId="0FC508A2" w14:textId="77777777" w:rsidR="00D11AA9" w:rsidRPr="0076238C" w:rsidRDefault="00D11AA9" w:rsidP="00EC7071">
            <w:pPr>
              <w:pStyle w:val="ProductList-OfferingBody"/>
              <w:keepNext/>
              <w:jc w:val="center"/>
            </w:pPr>
            <w:r>
              <w:lastRenderedPageBreak/>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C2473B"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5" w:name="_Toc54863508"/>
      <w:r>
        <w:t>Office Online</w:t>
      </w:r>
      <w:bookmarkEnd w:id="75"/>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6" w:name="_Toc54863509"/>
      <w:r>
        <w:t>Office 365 Video</w:t>
      </w:r>
      <w:bookmarkEnd w:id="76"/>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7" w:name="_Toc54863510"/>
      <w:r>
        <w:t>OneDrive pro firmy</w:t>
      </w:r>
      <w:bookmarkEnd w:id="77"/>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404BC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404BC4">
      <w:pPr>
        <w:pStyle w:val="ProductList-Body"/>
      </w:pPr>
    </w:p>
    <w:p w14:paraId="76BB190F" w14:textId="2B562897" w:rsidR="000C13D4"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lastRenderedPageBreak/>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78" w:name="_Toc54863511"/>
      <w:r>
        <w:t>Project</w:t>
      </w:r>
      <w:bookmarkEnd w:id="78"/>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79" w:name="_Toc54863512"/>
      <w:r>
        <w:t>SharePoint Online</w:t>
      </w:r>
      <w:bookmarkEnd w:id="79"/>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EC7071">
      <w:pPr>
        <w:pStyle w:val="ProductList-Offering2Heading"/>
      </w:pPr>
      <w:bookmarkStart w:id="80" w:name="_Toc54863513"/>
      <w:r>
        <w:t>Skype for Business Online</w:t>
      </w:r>
      <w:bookmarkEnd w:id="80"/>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1" w:name="_Toc457821525"/>
    <w:bookmarkStart w:id="82" w:name="_Toc526859637"/>
    <w:bookmarkStart w:id="83"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404BC4">
      <w:pPr>
        <w:pStyle w:val="ProductList-Offering2Heading"/>
        <w:outlineLvl w:val="2"/>
      </w:pPr>
      <w:bookmarkStart w:id="84" w:name="_Toc54863514"/>
      <w:r>
        <w:t>Microsoft Teams</w:t>
      </w:r>
      <w:r w:rsidR="00E94B1A">
        <w:t xml:space="preserve"> – Calling Plans and Audio Conferencing</w:t>
      </w:r>
      <w:bookmarkEnd w:id="81"/>
      <w:bookmarkEnd w:id="82"/>
      <w:bookmarkEnd w:id="83"/>
      <w:bookmarkEnd w:id="84"/>
    </w:p>
    <w:p w14:paraId="2FC9A011" w14:textId="77777777" w:rsidR="00E94B1A" w:rsidRPr="00735EAD" w:rsidRDefault="00E94B1A" w:rsidP="00404BC4">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404BC4">
      <w:pPr>
        <w:spacing w:after="0" w:line="240" w:lineRule="auto"/>
        <w:rPr>
          <w:sz w:val="18"/>
          <w:szCs w:val="18"/>
        </w:rPr>
      </w:pPr>
    </w:p>
    <w:p w14:paraId="7625539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404BC4">
      <w:pPr>
        <w:spacing w:after="0" w:line="240" w:lineRule="auto"/>
        <w:rPr>
          <w:sz w:val="18"/>
          <w:szCs w:val="18"/>
        </w:rPr>
      </w:pPr>
    </w:p>
    <w:p w14:paraId="776EB5FF" w14:textId="77777777" w:rsidR="00970DC5" w:rsidRPr="003A496C" w:rsidRDefault="00C2473B"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404BC4">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404BC4">
      <w:pPr>
        <w:spacing w:after="0" w:line="240" w:lineRule="auto"/>
        <w:rPr>
          <w:sz w:val="18"/>
          <w:szCs w:val="18"/>
        </w:rPr>
      </w:pPr>
    </w:p>
    <w:p w14:paraId="593CD89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404BC4">
            <w:pPr>
              <w:pStyle w:val="ProductList-OfferingBody"/>
              <w:jc w:val="center"/>
            </w:pPr>
            <w:r>
              <w:t>&lt; 99,9 %</w:t>
            </w:r>
          </w:p>
        </w:tc>
        <w:tc>
          <w:tcPr>
            <w:tcW w:w="5400" w:type="dxa"/>
          </w:tcPr>
          <w:p w14:paraId="4FCFCA04" w14:textId="77777777" w:rsidR="00970DC5" w:rsidRPr="0076238C" w:rsidRDefault="00970DC5" w:rsidP="00404BC4">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404BC4">
            <w:pPr>
              <w:pStyle w:val="ProductList-OfferingBody"/>
              <w:jc w:val="center"/>
            </w:pPr>
            <w:r>
              <w:t>&lt; 99 %</w:t>
            </w:r>
          </w:p>
        </w:tc>
        <w:tc>
          <w:tcPr>
            <w:tcW w:w="5400" w:type="dxa"/>
          </w:tcPr>
          <w:p w14:paraId="75BEA50A" w14:textId="77777777" w:rsidR="00970DC5" w:rsidRPr="0076238C" w:rsidRDefault="00970DC5" w:rsidP="00404BC4">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404BC4">
            <w:pPr>
              <w:pStyle w:val="ProductList-OfferingBody"/>
              <w:jc w:val="center"/>
            </w:pPr>
            <w:r>
              <w:t>&lt; 95 %</w:t>
            </w:r>
          </w:p>
        </w:tc>
        <w:tc>
          <w:tcPr>
            <w:tcW w:w="5400" w:type="dxa"/>
          </w:tcPr>
          <w:p w14:paraId="3FD16ADD" w14:textId="77777777" w:rsidR="00970DC5" w:rsidRPr="0076238C" w:rsidRDefault="00970DC5" w:rsidP="00404BC4">
            <w:pPr>
              <w:pStyle w:val="ProductList-OfferingBody"/>
              <w:jc w:val="center"/>
            </w:pPr>
            <w:r>
              <w:t>100%</w:t>
            </w:r>
          </w:p>
        </w:tc>
      </w:tr>
    </w:tbl>
    <w:bookmarkStart w:id="85" w:name="_Toc444249041"/>
    <w:p w14:paraId="0637142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404BC4">
      <w:pPr>
        <w:pStyle w:val="ProductList-Offering2Heading"/>
      </w:pPr>
      <w:bookmarkStart w:id="86" w:name="_Toc54863515"/>
      <w:r>
        <w:t>Microsoft Teams</w:t>
      </w:r>
      <w:r w:rsidR="00663455">
        <w:t xml:space="preserve"> – kvalita hlasu</w:t>
      </w:r>
      <w:bookmarkEnd w:id="85"/>
      <w:bookmarkEnd w:id="86"/>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2ABAEA5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C2473B"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87" w:name="_Toc487138021"/>
    <w:bookmarkStart w:id="88"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89" w:name="_Toc54863516"/>
      <w:r>
        <w:t>Workplace Analytics</w:t>
      </w:r>
      <w:bookmarkEnd w:id="89"/>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87"/>
    <w:bookmarkEnd w:id="88"/>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0" w:name="_Toc54863517"/>
      <w:r>
        <w:t>Yammer Enterprise</w:t>
      </w:r>
      <w:bookmarkEnd w:id="90"/>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8A4DF1C" w14:textId="77777777" w:rsidR="00DB6D2E" w:rsidRPr="00A77B85" w:rsidRDefault="00DB6D2E" w:rsidP="00DB6D2E">
      <w:pPr>
        <w:pStyle w:val="ProductList-OfferingGroupHeading"/>
        <w:tabs>
          <w:tab w:val="clear" w:pos="360"/>
          <w:tab w:val="clear" w:pos="720"/>
          <w:tab w:val="clear" w:pos="1080"/>
        </w:tabs>
        <w:outlineLvl w:val="1"/>
      </w:pPr>
      <w:bookmarkStart w:id="91" w:name="_Toc52348915"/>
      <w:bookmarkStart w:id="92" w:name="_Toc54863518"/>
      <w:bookmarkStart w:id="93" w:name="MicrosoftAzureServices"/>
      <w:r>
        <w:t>Služby Microsoft Azure</w:t>
      </w:r>
      <w:bookmarkEnd w:id="91"/>
      <w:r>
        <w:t xml:space="preserve"> a plány služeb Azure:</w:t>
      </w:r>
      <w:bookmarkEnd w:id="92"/>
    </w:p>
    <w:bookmarkEnd w:id="93"/>
    <w:p w14:paraId="13FF27E6" w14:textId="3C349148" w:rsidR="00DB6D2E" w:rsidRPr="00DB6D2E" w:rsidRDefault="00DB6D2E" w:rsidP="00DB6D2E">
      <w:pPr>
        <w:rPr>
          <w:sz w:val="18"/>
          <w:szCs w:val="18"/>
        </w:rPr>
      </w:pPr>
      <w:r>
        <w:rPr>
          <w:sz w:val="18"/>
        </w:rPr>
        <w:t xml:space="preserve">Podmínky specifické pro služby Azure a plány služeb Azure viz </w:t>
      </w:r>
      <w:hyperlink r:id="rId20" w:history="1">
        <w:r w:rsidRPr="00DB6D2E">
          <w:rPr>
            <w:rStyle w:val="Hyperlink"/>
            <w:sz w:val="18"/>
            <w:szCs w:val="18"/>
          </w:rPr>
          <w:t>http://azure.microsoft.com/support/legal/sla/</w:t>
        </w:r>
      </w:hyperlink>
      <w:r w:rsidRPr="00DB6D2E">
        <w:rPr>
          <w:sz w:val="18"/>
          <w:szCs w:val="18"/>
        </w:rPr>
        <w:t>.</w:t>
      </w:r>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94" w:name="_Toc54863519"/>
      <w:r>
        <w:t>Ostatní služby online</w:t>
      </w:r>
      <w:bookmarkEnd w:id="94"/>
    </w:p>
    <w:p w14:paraId="04E8B34F" w14:textId="77777777" w:rsidR="00FF2DDB" w:rsidRPr="00552D87" w:rsidRDefault="00FF2DDB" w:rsidP="00FF2DDB">
      <w:pPr>
        <w:pStyle w:val="ProductList-Offering2Heading"/>
        <w:tabs>
          <w:tab w:val="clear" w:pos="360"/>
          <w:tab w:val="clear" w:pos="720"/>
          <w:tab w:val="clear" w:pos="1080"/>
        </w:tabs>
        <w:outlineLvl w:val="2"/>
      </w:pPr>
      <w:bookmarkStart w:id="95" w:name="_Toc54863520"/>
      <w:r>
        <w:t>Azure Advanced Threat Protection</w:t>
      </w:r>
      <w:bookmarkEnd w:id="95"/>
    </w:p>
    <w:p w14:paraId="6E338E66" w14:textId="77777777" w:rsidR="00FF2DDB" w:rsidRPr="00552D87" w:rsidRDefault="00FF2DDB" w:rsidP="00FF2DDB">
      <w:pPr>
        <w:pStyle w:val="ProductList-Body"/>
      </w:pPr>
      <w:r>
        <w:rPr>
          <w:b/>
          <w:color w:val="00188F"/>
        </w:rPr>
        <w:t>Další definice</w:t>
      </w:r>
      <w:r w:rsidRPr="00AA3FE7">
        <w:rPr>
          <w:b/>
          <w:bCs/>
        </w:rPr>
        <w:t>:</w:t>
      </w:r>
    </w:p>
    <w:p w14:paraId="4AEAE1CE" w14:textId="77777777" w:rsidR="00FF2DDB" w:rsidRPr="00735EAD" w:rsidRDefault="00FF2DDB" w:rsidP="00FF2DDB">
      <w:pPr>
        <w:rPr>
          <w:sz w:val="18"/>
          <w:szCs w:val="18"/>
        </w:rPr>
      </w:pPr>
      <w:r>
        <w:rPr>
          <w:sz w:val="18"/>
        </w:rPr>
        <w:t>„</w:t>
      </w:r>
      <w:r>
        <w:rPr>
          <w:b/>
          <w:color w:val="00188F"/>
          <w:sz w:val="18"/>
        </w:rPr>
        <w:t>Doba výpadku</w:t>
      </w:r>
      <w:r>
        <w:rPr>
          <w:sz w:val="18"/>
        </w:rPr>
        <w:t>“ je doba, po kterou administrátor nemá přístup k portálu služby Azure ATP.</w:t>
      </w:r>
    </w:p>
    <w:p w14:paraId="2FE57454" w14:textId="77777777" w:rsidR="00FF2DDB" w:rsidRPr="00552D87" w:rsidRDefault="00FF2DDB" w:rsidP="00DB6D2E">
      <w:pPr>
        <w:pStyle w:val="ProductList-Body"/>
        <w:keepNext/>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C2473B" w:rsidP="00FF2DD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CE035C">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CE035C">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CE035C">
            <w:pPr>
              <w:pStyle w:val="ProductList-OfferingBody"/>
              <w:spacing w:line="252" w:lineRule="auto"/>
              <w:jc w:val="center"/>
              <w:rPr>
                <w:color w:val="FFFFFF"/>
              </w:rPr>
            </w:pPr>
            <w:r>
              <w:rPr>
                <w:color w:val="FFFFFF"/>
              </w:rPr>
              <w:t>Kredit služby</w:t>
            </w:r>
          </w:p>
        </w:tc>
      </w:tr>
      <w:tr w:rsidR="00FF2DDB" w:rsidRPr="00735EAD" w14:paraId="54BBA4A5" w14:textId="77777777" w:rsidTr="00CE035C">
        <w:tc>
          <w:tcPr>
            <w:tcW w:w="5400" w:type="dxa"/>
            <w:tcMar>
              <w:top w:w="0" w:type="dxa"/>
              <w:left w:w="108" w:type="dxa"/>
              <w:bottom w:w="0" w:type="dxa"/>
              <w:right w:w="108" w:type="dxa"/>
            </w:tcMar>
            <w:hideMark/>
          </w:tcPr>
          <w:p w14:paraId="1EC22198" w14:textId="77777777" w:rsidR="00FF2DDB" w:rsidRDefault="00FF2DDB" w:rsidP="00CE035C">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CE035C">
            <w:pPr>
              <w:pStyle w:val="ProductList-OfferingBody"/>
              <w:spacing w:line="252" w:lineRule="auto"/>
              <w:jc w:val="center"/>
            </w:pPr>
            <w:r>
              <w:t>10%</w:t>
            </w:r>
          </w:p>
        </w:tc>
      </w:tr>
      <w:tr w:rsidR="00FF2DDB" w:rsidRPr="00735EAD" w14:paraId="0A644010" w14:textId="77777777" w:rsidTr="00CE035C">
        <w:tc>
          <w:tcPr>
            <w:tcW w:w="5400" w:type="dxa"/>
            <w:tcMar>
              <w:top w:w="0" w:type="dxa"/>
              <w:left w:w="108" w:type="dxa"/>
              <w:bottom w:w="0" w:type="dxa"/>
              <w:right w:w="108" w:type="dxa"/>
            </w:tcMar>
            <w:hideMark/>
          </w:tcPr>
          <w:p w14:paraId="3DA82023" w14:textId="77777777" w:rsidR="00FF2DDB" w:rsidRDefault="00FF2DDB" w:rsidP="00CE035C">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CE035C">
            <w:pPr>
              <w:pStyle w:val="ProductList-OfferingBody"/>
              <w:spacing w:line="252" w:lineRule="auto"/>
              <w:jc w:val="center"/>
            </w:pPr>
            <w:r>
              <w:t>25%</w:t>
            </w:r>
          </w:p>
        </w:tc>
      </w:tr>
    </w:tbl>
    <w:p w14:paraId="55812B39" w14:textId="77777777" w:rsidR="00FF2DDB" w:rsidRPr="00182C80" w:rsidRDefault="00C2473B"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96" w:name="_Toc54863521"/>
      <w:r>
        <w:t>Bing Maps Enterprise Platform</w:t>
      </w:r>
      <w:bookmarkEnd w:id="96"/>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087D7891" w14:textId="09BCF157"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97"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98" w:name="_Toc54863522"/>
      <w:r>
        <w:t>Bing Maps Mobile Asset Management</w:t>
      </w:r>
      <w:bookmarkEnd w:id="97"/>
      <w:bookmarkEnd w:id="98"/>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6FE4E46D" w14:textId="68161785"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106" w:name="_Toc54863523"/>
      <w:r>
        <w:t>Služba Microsoft Cloud App Security</w:t>
      </w:r>
      <w:bookmarkEnd w:id="99"/>
      <w:bookmarkEnd w:id="100"/>
      <w:bookmarkEnd w:id="106"/>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C2473B"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5441E420" w14:textId="77777777"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107" w:name="_Toc54863524"/>
      <w:r>
        <w:t xml:space="preserve">Microsoft </w:t>
      </w:r>
      <w:bookmarkEnd w:id="101"/>
      <w:r w:rsidR="00404BC4" w:rsidRPr="00A46188">
        <w:t>Power Automate</w:t>
      </w:r>
      <w:bookmarkEnd w:id="107"/>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0A2101" w:rsidRDefault="00D20C97" w:rsidP="00404BC4">
      <w:pPr>
        <w:pStyle w:val="ProductList-Body"/>
        <w:rPr>
          <w:sz w:val="12"/>
          <w:szCs w:val="12"/>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0A2101" w:rsidRDefault="00D20C97" w:rsidP="00404BC4">
      <w:pPr>
        <w:pStyle w:val="ProductList-Body"/>
        <w:rPr>
          <w:sz w:val="12"/>
          <w:szCs w:val="12"/>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108" w:name="_Toc54863525"/>
      <w:r>
        <w:t>Microsoft Intune</w:t>
      </w:r>
      <w:bookmarkEnd w:id="102"/>
      <w:bookmarkEnd w:id="103"/>
      <w:bookmarkEnd w:id="108"/>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DB6D2E">
      <w:pPr>
        <w:pStyle w:val="ProductList-Body"/>
        <w:keepNext/>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109"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110" w:name="_Toc54863526"/>
      <w:r>
        <w:t>Microsoft Kaizala Pro</w:t>
      </w:r>
      <w:bookmarkEnd w:id="110"/>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111" w:name="_Toc54863527"/>
      <w:r>
        <w:t>Microsoft Power</w:t>
      </w:r>
      <w:r w:rsidR="0077359E">
        <w:t xml:space="preserve"> </w:t>
      </w:r>
      <w:r>
        <w:t>Apps</w:t>
      </w:r>
      <w:bookmarkEnd w:id="109"/>
      <w:bookmarkEnd w:id="111"/>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392F3953" w14:textId="2A95DDFC"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EC7071">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Virtuální agenti Microsoft Power</w:t>
      </w:r>
      <w:bookmarkEnd w:id="112"/>
    </w:p>
    <w:p w14:paraId="5EE5261B" w14:textId="77777777" w:rsidR="00C11B2C" w:rsidRPr="00514C8C" w:rsidRDefault="00C11B2C" w:rsidP="00EC7071">
      <w:pPr>
        <w:shd w:val="clear" w:color="auto" w:fill="FFFFFF"/>
        <w:spacing w:after="0" w:line="240" w:lineRule="auto"/>
      </w:pPr>
      <w:r>
        <w:rPr>
          <w:rFonts w:ascii="Calibri" w:eastAsia="Calibri" w:hAnsi="Calibri" w:cs="Arial"/>
          <w:b/>
          <w:color w:val="00188F"/>
          <w:sz w:val="18"/>
        </w:rPr>
        <w:t xml:space="preserve">Další definice: </w:t>
      </w:r>
    </w:p>
    <w:p w14:paraId="17F3CC01"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514C8C" w:rsidRDefault="00C11B2C" w:rsidP="00C11B2C">
      <w:pPr>
        <w:shd w:val="clear" w:color="auto" w:fill="FFFFFF"/>
        <w:spacing w:after="0" w:line="240" w:lineRule="auto"/>
      </w:pPr>
    </w:p>
    <w:p w14:paraId="560C96AD"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514C8C" w:rsidRDefault="00C11B2C" w:rsidP="00C11B2C">
      <w:pPr>
        <w:shd w:val="clear" w:color="auto" w:fill="FFFFFF"/>
        <w:spacing w:after="0" w:line="240" w:lineRule="auto"/>
      </w:pPr>
    </w:p>
    <w:p w14:paraId="7D88EDE2" w14:textId="77777777" w:rsidR="00C11B2C" w:rsidRPr="00514C8C" w:rsidRDefault="00C11B2C" w:rsidP="00C11B2C">
      <w:pPr>
        <w:tabs>
          <w:tab w:val="left" w:pos="360"/>
          <w:tab w:val="left" w:pos="720"/>
          <w:tab w:val="left" w:pos="1080"/>
        </w:tabs>
        <w:spacing w:after="0" w:line="240" w:lineRule="auto"/>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514C8C" w:rsidRDefault="00C11B2C" w:rsidP="00C11B2C">
      <w:pPr>
        <w:tabs>
          <w:tab w:val="left" w:pos="360"/>
          <w:tab w:val="left" w:pos="720"/>
          <w:tab w:val="left" w:pos="1080"/>
        </w:tabs>
        <w:spacing w:after="0" w:line="240" w:lineRule="auto"/>
      </w:pPr>
    </w:p>
    <w:p w14:paraId="69C50622" w14:textId="77777777" w:rsidR="00C11B2C" w:rsidRPr="00514C8C" w:rsidRDefault="00C2473B" w:rsidP="00C11B2C">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77777777" w:rsidR="00C11B2C" w:rsidRPr="00514C8C" w:rsidRDefault="00C11B2C" w:rsidP="006E48E7">
      <w:pPr>
        <w:keepNext/>
        <w:tabs>
          <w:tab w:val="left" w:pos="360"/>
          <w:tab w:val="left" w:pos="720"/>
          <w:tab w:val="left" w:pos="1080"/>
        </w:tabs>
        <w:spacing w:after="0" w:line="240" w:lineRule="auto"/>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FF6867">
        <w:trPr>
          <w:tblHeader/>
        </w:trPr>
        <w:tc>
          <w:tcPr>
            <w:tcW w:w="4676" w:type="dxa"/>
            <w:shd w:val="clear" w:color="auto" w:fill="0072C6"/>
          </w:tcPr>
          <w:p w14:paraId="199B7BD3" w14:textId="77777777" w:rsidR="00C11B2C" w:rsidRPr="006D4DC5" w:rsidRDefault="00C11B2C" w:rsidP="00FF6867">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FF6867">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FF6867">
        <w:trPr>
          <w:tblHeader/>
        </w:trPr>
        <w:tc>
          <w:tcPr>
            <w:tcW w:w="4676" w:type="dxa"/>
          </w:tcPr>
          <w:p w14:paraId="3CA44708" w14:textId="77777777" w:rsidR="00C11B2C" w:rsidRDefault="00C11B2C" w:rsidP="00FF6867">
            <w:pPr>
              <w:pStyle w:val="ProductList-OfferingBody"/>
              <w:jc w:val="center"/>
              <w:rPr>
                <w:color w:val="000000" w:themeColor="text1"/>
              </w:rPr>
            </w:pPr>
            <w:r>
              <w:t>&lt; 99,9 %</w:t>
            </w:r>
          </w:p>
        </w:tc>
        <w:tc>
          <w:tcPr>
            <w:tcW w:w="4676" w:type="dxa"/>
          </w:tcPr>
          <w:p w14:paraId="0545E037" w14:textId="77777777" w:rsidR="00C11B2C" w:rsidRDefault="00C11B2C" w:rsidP="00FF6867">
            <w:pPr>
              <w:pStyle w:val="ProductList-OfferingBody"/>
              <w:jc w:val="center"/>
              <w:rPr>
                <w:color w:val="000000" w:themeColor="text1"/>
              </w:rPr>
            </w:pPr>
            <w:r>
              <w:t>10%</w:t>
            </w:r>
          </w:p>
        </w:tc>
      </w:tr>
    </w:tbl>
    <w:p w14:paraId="6988B27B" w14:textId="77777777" w:rsidR="00C11B2C" w:rsidRPr="00514C8C" w:rsidRDefault="00C2473B"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E97E3E">
      <w:pPr>
        <w:pStyle w:val="ProductList-Offering2Heading"/>
        <w:keepNext/>
        <w:tabs>
          <w:tab w:val="clear" w:pos="360"/>
          <w:tab w:val="clear" w:pos="720"/>
          <w:tab w:val="clear" w:pos="1080"/>
        </w:tabs>
        <w:outlineLvl w:val="2"/>
      </w:pPr>
      <w:bookmarkStart w:id="113" w:name="_Toc54863528"/>
      <w:r>
        <w:t>Minecraft</w:t>
      </w:r>
      <w:r w:rsidRPr="00BC1B27">
        <w:t>:</w:t>
      </w:r>
      <w:r>
        <w:t xml:space="preserve"> Education Edition</w:t>
      </w:r>
      <w:bookmarkEnd w:id="104"/>
      <w:bookmarkEnd w:id="113"/>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114" w:name="_Toc54863529"/>
      <w:r>
        <w:t>Power BI Embedded</w:t>
      </w:r>
      <w:bookmarkEnd w:id="105"/>
      <w:bookmarkEnd w:id="114"/>
    </w:p>
    <w:p w14:paraId="6AA7A37E" w14:textId="77777777" w:rsidR="00605E7D" w:rsidRPr="00944E55" w:rsidRDefault="00605E7D" w:rsidP="00404BC4">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404BC4">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404BC4">
      <w:pPr>
        <w:pStyle w:val="ProductList-Body"/>
        <w:rPr>
          <w:sz w:val="16"/>
          <w:szCs w:val="16"/>
        </w:rPr>
      </w:pPr>
    </w:p>
    <w:p w14:paraId="4F345D1E" w14:textId="77777777" w:rsidR="00605E7D" w:rsidRPr="00944E55" w:rsidRDefault="00605E7D" w:rsidP="00404BC4">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404BC4">
      <w:pPr>
        <w:pStyle w:val="ProductList-Body"/>
        <w:rPr>
          <w:sz w:val="16"/>
          <w:szCs w:val="16"/>
        </w:rPr>
      </w:pPr>
    </w:p>
    <w:p w14:paraId="4179C83E"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404BC4">
      <w:pPr>
        <w:pStyle w:val="ProductList-Body"/>
        <w:rPr>
          <w:szCs w:val="16"/>
        </w:rPr>
      </w:pPr>
    </w:p>
    <w:p w14:paraId="459E53A1" w14:textId="77777777" w:rsidR="00605E7D"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404BC4">
      <w:pPr>
        <w:pStyle w:val="ProductList-Body"/>
        <w:rPr>
          <w:sz w:val="16"/>
          <w:szCs w:val="16"/>
        </w:rPr>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115"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116" w:name="_Toc54863530"/>
      <w:r>
        <w:t>Power BI Premium</w:t>
      </w:r>
      <w:bookmarkEnd w:id="115"/>
      <w:bookmarkEnd w:id="116"/>
    </w:p>
    <w:p w14:paraId="49EF0D8F" w14:textId="77777777" w:rsidR="001E32D8" w:rsidRPr="00DE201A" w:rsidRDefault="001E32D8" w:rsidP="00404BC4">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404BC4">
      <w:pPr>
        <w:pStyle w:val="ProductList-Body"/>
      </w:pPr>
    </w:p>
    <w:p w14:paraId="1A0A9EE4" w14:textId="77777777" w:rsidR="001E32D8" w:rsidRPr="00DE201A" w:rsidRDefault="001E32D8" w:rsidP="00404BC4">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404BC4">
      <w:pPr>
        <w:pStyle w:val="ProductList-Body"/>
      </w:pPr>
    </w:p>
    <w:p w14:paraId="1D1D3E58" w14:textId="7C9771DE" w:rsidR="001E32D8"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04BC4">
      <w:pPr>
        <w:pStyle w:val="ProductList-Body"/>
      </w:pPr>
    </w:p>
    <w:p w14:paraId="05ED761C" w14:textId="77777777" w:rsidR="001E32D8" w:rsidRPr="00F86436" w:rsidRDefault="00C2473B" w:rsidP="00404BC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404BC4">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404BC4">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117" w:name="_Toc54863531"/>
      <w:r>
        <w:t xml:space="preserve">Power BI </w:t>
      </w:r>
      <w:r w:rsidR="004D7EAA">
        <w:t>Pro</w:t>
      </w:r>
      <w:bookmarkEnd w:id="117"/>
    </w:p>
    <w:p w14:paraId="1FA2333B" w14:textId="38D582F1" w:rsidR="00515EF4" w:rsidRPr="00FB368F" w:rsidRDefault="00515EF4" w:rsidP="00404BC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404BC4">
      <w:pPr>
        <w:pStyle w:val="ProductList-Body"/>
        <w:rPr>
          <w:sz w:val="16"/>
          <w:szCs w:val="16"/>
        </w:rPr>
      </w:pPr>
    </w:p>
    <w:p w14:paraId="49ECCD62" w14:textId="1A337457" w:rsidR="00515EF4" w:rsidRPr="00FB368F" w:rsidRDefault="00515EF4" w:rsidP="00404BC4">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404BC4">
      <w:pPr>
        <w:pStyle w:val="ProductList-Body"/>
        <w:rPr>
          <w:sz w:val="16"/>
          <w:szCs w:val="16"/>
        </w:rPr>
      </w:pPr>
    </w:p>
    <w:p w14:paraId="5A7E48F2" w14:textId="3D530700" w:rsidR="00515EF4"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404BC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0A2101" w:rsidRDefault="00515EF4" w:rsidP="00404BC4">
      <w:pPr>
        <w:pStyle w:val="ProductList-Body"/>
        <w:rPr>
          <w:sz w:val="12"/>
          <w:szCs w:val="12"/>
        </w:rPr>
      </w:pPr>
    </w:p>
    <w:p w14:paraId="2865395D" w14:textId="7B9AEEA0" w:rsidR="00515EF4" w:rsidRPr="00FB368F" w:rsidRDefault="00515EF4" w:rsidP="00404BC4">
      <w:pPr>
        <w:pStyle w:val="ProductList-Body"/>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C2473B"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118" w:name="_Toc54863532"/>
      <w:r>
        <w:t>Rozhraní Translator API</w:t>
      </w:r>
      <w:bookmarkEnd w:id="118"/>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0A2101" w:rsidRDefault="00515EF4" w:rsidP="00404BC4">
      <w:pPr>
        <w:pStyle w:val="ProductList-Body"/>
        <w:rPr>
          <w:sz w:val="12"/>
          <w:szCs w:val="12"/>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0A2101" w:rsidRDefault="00515EF4" w:rsidP="00404BC4">
      <w:pPr>
        <w:pStyle w:val="ProductList-Body"/>
        <w:rPr>
          <w:sz w:val="12"/>
          <w:szCs w:val="12"/>
        </w:rPr>
      </w:pPr>
    </w:p>
    <w:p w14:paraId="728BF4C5" w14:textId="54F8A8AA" w:rsidR="00515EF4"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0A2101" w:rsidRDefault="00515EF4" w:rsidP="00404BC4">
      <w:pPr>
        <w:pStyle w:val="ProductList-Body"/>
        <w:rPr>
          <w:sz w:val="12"/>
          <w:szCs w:val="12"/>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119" w:name="_Toc457821597"/>
    <w:bookmarkStart w:id="120" w:name="_Toc465333785"/>
    <w:bookmarkStart w:id="121"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C93535" w14:textId="77777777" w:rsidR="00A670CC" w:rsidRDefault="00A670CC" w:rsidP="00DB6D2E">
      <w:pPr>
        <w:pStyle w:val="ProductList-Offering2Heading"/>
        <w:tabs>
          <w:tab w:val="clear" w:pos="360"/>
        </w:tabs>
        <w:outlineLvl w:val="2"/>
      </w:pPr>
      <w:bookmarkStart w:id="122" w:name="_Toc13833097"/>
      <w:bookmarkStart w:id="123" w:name="MDATP"/>
      <w:bookmarkStart w:id="124" w:name="_Toc54863533"/>
      <w:bookmarkEnd w:id="119"/>
      <w:bookmarkEnd w:id="120"/>
      <w:bookmarkEnd w:id="121"/>
      <w:r>
        <w:t>Microsoft Defender Advanced Threat Protection:</w:t>
      </w:r>
      <w:bookmarkEnd w:id="122"/>
      <w:bookmarkEnd w:id="123"/>
      <w:bookmarkEnd w:id="124"/>
    </w:p>
    <w:p w14:paraId="1F0AD120" w14:textId="77777777" w:rsidR="00A670CC" w:rsidRDefault="00A670CC" w:rsidP="00404BC4">
      <w:pPr>
        <w:pStyle w:val="ProductList-Body"/>
        <w:rPr>
          <w:b/>
          <w:color w:val="00188F"/>
        </w:rPr>
      </w:pPr>
      <w:r>
        <w:rPr>
          <w:b/>
          <w:color w:val="00188F"/>
        </w:rPr>
        <w:t>Další definice</w:t>
      </w:r>
      <w:r>
        <w:rPr>
          <w:b/>
        </w:rPr>
        <w:t>:</w:t>
      </w:r>
    </w:p>
    <w:p w14:paraId="7D058C2B" w14:textId="77777777" w:rsidR="00A670CC" w:rsidRDefault="00A670CC" w:rsidP="00404BC4">
      <w:pPr>
        <w:pStyle w:val="ProductList-Body"/>
        <w:spacing w:after="40"/>
      </w:pPr>
      <w:r>
        <w:t>„</w:t>
      </w:r>
      <w:r>
        <w:rPr>
          <w:b/>
          <w:color w:val="00188F"/>
        </w:rPr>
        <w:t>Maximální dostupný počet minut</w:t>
      </w:r>
      <w:r>
        <w:t>“ znamená celkový souhrnný počet minut během fakturačního měsíce pro portál Microsoft Defender Advanced Threat Protection. Maximální dostupný počet minut se měří od okamžiku, kdy byl vytvořen klient po úspěšném dokončení procesu registrace.</w:t>
      </w:r>
    </w:p>
    <w:p w14:paraId="58DF52C4" w14:textId="77777777" w:rsidR="00A670CC" w:rsidRDefault="00A670CC" w:rsidP="00404BC4">
      <w:pPr>
        <w:pStyle w:val="ProductList-Body"/>
      </w:pPr>
      <w:r>
        <w:t>„</w:t>
      </w:r>
      <w:r>
        <w:rPr>
          <w:b/>
          <w:color w:val="00188F"/>
        </w:rPr>
        <w:t>Klient</w:t>
      </w:r>
      <w:r>
        <w:t>“ představuje cloudové prostředí specifické pro zákazníka portálu Microsoft Defender Advanced Threat Protection.</w:t>
      </w:r>
    </w:p>
    <w:p w14:paraId="0A7720DE" w14:textId="77777777" w:rsidR="00A670CC" w:rsidRPr="000A2101" w:rsidRDefault="00A670CC" w:rsidP="00404BC4">
      <w:pPr>
        <w:pStyle w:val="ProductList-Body"/>
        <w:rPr>
          <w:sz w:val="12"/>
          <w:szCs w:val="12"/>
        </w:rPr>
      </w:pPr>
    </w:p>
    <w:p w14:paraId="17349B33" w14:textId="77777777" w:rsidR="00A670CC" w:rsidRDefault="00A670CC" w:rsidP="00404BC4">
      <w:pPr>
        <w:pStyle w:val="ProductList-Body"/>
      </w:pPr>
      <w:r>
        <w:rPr>
          <w:b/>
          <w:color w:val="00188F"/>
        </w:rPr>
        <w:t>Doba výpadku</w:t>
      </w:r>
      <w:r>
        <w:rPr>
          <w:b/>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Advanced Threat Protection, pro které vlastní příslušná oprávnění a platnou a aktivní licenci</w:t>
      </w:r>
      <w:r>
        <w:t>.</w:t>
      </w:r>
    </w:p>
    <w:p w14:paraId="6925BCE5" w14:textId="77777777" w:rsidR="00442C7B" w:rsidRPr="000A2101" w:rsidRDefault="00442C7B" w:rsidP="00404BC4">
      <w:pPr>
        <w:pStyle w:val="ProductList-Body"/>
        <w:rPr>
          <w:sz w:val="12"/>
          <w:szCs w:val="12"/>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0A2101" w:rsidRDefault="00442C7B" w:rsidP="00404BC4">
      <w:pPr>
        <w:pStyle w:val="ProductList-Body"/>
        <w:rPr>
          <w:sz w:val="12"/>
          <w:szCs w:val="12"/>
        </w:rPr>
      </w:pPr>
    </w:p>
    <w:p w14:paraId="0C365D41" w14:textId="77777777" w:rsidR="00442C7B" w:rsidRPr="00735EAD" w:rsidRDefault="00C2473B"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0A2101" w:rsidRDefault="00442C7B" w:rsidP="00404BC4">
      <w:pPr>
        <w:pStyle w:val="ProductList-Body"/>
        <w:rPr>
          <w:sz w:val="12"/>
          <w:szCs w:val="12"/>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0A2101" w:rsidRDefault="00442C7B" w:rsidP="00442C7B">
      <w:pPr>
        <w:pStyle w:val="ProductList-Body"/>
        <w:rPr>
          <w:sz w:val="12"/>
          <w:szCs w:val="12"/>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C2473B"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5" w:name="AppendixA"/>
      <w:bookmarkStart w:id="126" w:name="_Toc54863534"/>
      <w:r>
        <w:t>Příloha A</w:t>
      </w:r>
      <w:bookmarkEnd w:id="125"/>
      <w:r>
        <w:t xml:space="preserve"> – Závazek úrovně služby pro detekci a blokování virů, efektivitu nevyžádané pošty a falešně pozitivní případy</w:t>
      </w:r>
      <w:bookmarkEnd w:id="126"/>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7" w:name="AppendixB"/>
      <w:bookmarkStart w:id="128" w:name="_Toc54863535"/>
      <w:r>
        <w:t>Příloha B</w:t>
      </w:r>
      <w:bookmarkEnd w:id="127"/>
      <w:r>
        <w:t xml:space="preserve"> – Závazek úrovně služby pro dobu fungování a doručování e-mailů</w:t>
      </w:r>
      <w:bookmarkEnd w:id="128"/>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B8BBB" w14:textId="77777777" w:rsidR="00F136FD" w:rsidRDefault="00F136FD" w:rsidP="009A573F">
      <w:pPr>
        <w:spacing w:after="0" w:line="240" w:lineRule="auto"/>
      </w:pPr>
      <w:r>
        <w:separator/>
      </w:r>
    </w:p>
  </w:endnote>
  <w:endnote w:type="continuationSeparator" w:id="0">
    <w:p w14:paraId="5081498D" w14:textId="77777777" w:rsidR="00F136FD" w:rsidRDefault="00F136FD" w:rsidP="009A573F">
      <w:pPr>
        <w:spacing w:after="0" w:line="240" w:lineRule="auto"/>
      </w:pPr>
      <w:r>
        <w:continuationSeparator/>
      </w:r>
    </w:p>
  </w:endnote>
  <w:endnote w:type="continuationNotice" w:id="1">
    <w:p w14:paraId="23C85831" w14:textId="77777777" w:rsidR="00F136FD" w:rsidRDefault="00F13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15A2D634" w14:textId="77777777" w:rsidTr="00CA55D9">
      <w:tc>
        <w:tcPr>
          <w:tcW w:w="1255" w:type="dxa"/>
          <w:shd w:val="clear" w:color="auto" w:fill="BFBFBF" w:themeFill="background1" w:themeFillShade="BF"/>
          <w:vAlign w:val="center"/>
        </w:tcPr>
        <w:p w14:paraId="2DBC2034" w14:textId="77777777" w:rsidR="00712A35" w:rsidRPr="00C76DF3" w:rsidRDefault="00C2473B"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252C3380"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A35" w:rsidRPr="00C76DF3" w:rsidRDefault="00C2473B"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0F966FD9"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A35" w:rsidRPr="00C76DF3" w:rsidRDefault="00C2473B" w:rsidP="00370875">
          <w:pPr>
            <w:pStyle w:val="ProductList-OfferingBody"/>
            <w:ind w:left="-72" w:right="-75"/>
            <w:jc w:val="center"/>
            <w:rPr>
              <w:color w:val="808080" w:themeColor="background1" w:themeShade="80"/>
              <w:sz w:val="14"/>
              <w:szCs w:val="14"/>
            </w:rPr>
          </w:pPr>
          <w:hyperlink w:anchor="Glossary" w:history="1">
            <w:r w:rsidR="00712A35">
              <w:rPr>
                <w:rStyle w:val="Hyperlink"/>
                <w:sz w:val="14"/>
                <w:szCs w:val="14"/>
              </w:rPr>
              <w:t>Slovník</w:t>
            </w:r>
          </w:hyperlink>
          <w:r w:rsidR="00712A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A35" w:rsidRPr="00C76DF3" w:rsidRDefault="00C2473B" w:rsidP="00370875">
          <w:pPr>
            <w:pStyle w:val="ProductList-OfferingBody"/>
            <w:ind w:left="-72" w:right="-77"/>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5" w:type="dxa"/>
          <w:tcBorders>
            <w:top w:val="nil"/>
            <w:bottom w:val="nil"/>
          </w:tcBorders>
          <w:vAlign w:val="center"/>
        </w:tcPr>
        <w:p w14:paraId="69800AFB"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A35" w:rsidRPr="00C76DF3" w:rsidRDefault="00C2473B"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0" w:type="dxa"/>
          <w:tcBorders>
            <w:top w:val="nil"/>
            <w:bottom w:val="nil"/>
          </w:tcBorders>
        </w:tcPr>
        <w:p w14:paraId="4F6F3066"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A35" w:rsidRPr="00C76DF3" w:rsidRDefault="00C2473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A3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A35" w:rsidRPr="00C76DF3" w:rsidRDefault="00C2473B"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4CB1671F"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A35" w:rsidRPr="00C76DF3" w:rsidRDefault="00C2473B"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23003BC5" w14:textId="77777777" w:rsidR="00712A35" w:rsidRDefault="00712A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6253FB8" w14:textId="77777777" w:rsidTr="00407C91">
      <w:tc>
        <w:tcPr>
          <w:tcW w:w="1903" w:type="dxa"/>
          <w:shd w:val="clear" w:color="auto" w:fill="F2F2F2" w:themeFill="background1" w:themeFillShade="F2"/>
          <w:vAlign w:val="center"/>
        </w:tcPr>
        <w:p w14:paraId="61127C9D" w14:textId="77777777" w:rsidR="00712A35" w:rsidRPr="00C76DF3" w:rsidRDefault="00C2473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1D4385F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12A35" w:rsidRPr="00C76DF3" w:rsidRDefault="00C2473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06AFA20"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12A35" w:rsidRPr="00C76DF3" w:rsidRDefault="00C2473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5DA82630"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3E8CA211" w14:textId="77777777" w:rsidR="00712A35" w:rsidRDefault="00712A3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670438D1" w14:textId="77777777" w:rsidTr="00156F3C">
      <w:tc>
        <w:tcPr>
          <w:tcW w:w="1903" w:type="dxa"/>
          <w:shd w:val="clear" w:color="auto" w:fill="F2F2F2" w:themeFill="background1" w:themeFillShade="F2"/>
          <w:vAlign w:val="center"/>
        </w:tcPr>
        <w:p w14:paraId="34E16297" w14:textId="77777777" w:rsidR="00712A35" w:rsidRPr="00C76DF3" w:rsidRDefault="00C2473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590130C"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12A35" w:rsidRPr="00C76DF3" w:rsidRDefault="00C2473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43FD1D0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12A35" w:rsidRPr="00C76DF3" w:rsidRDefault="00C2473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0B64FE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7BE8A268" w14:textId="77777777" w:rsidR="00712A35" w:rsidRDefault="00712A3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B19B65B" w14:textId="77777777" w:rsidTr="00407C91">
      <w:tc>
        <w:tcPr>
          <w:tcW w:w="1903" w:type="dxa"/>
          <w:shd w:val="clear" w:color="auto" w:fill="F2F2F2" w:themeFill="background1" w:themeFillShade="F2"/>
          <w:vAlign w:val="center"/>
        </w:tcPr>
        <w:p w14:paraId="2ED122CB" w14:textId="77777777" w:rsidR="00712A35" w:rsidRPr="00C76DF3" w:rsidRDefault="00C2473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830995E"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12A35" w:rsidRPr="00C76DF3" w:rsidRDefault="00C2473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7E942B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12A35" w:rsidRPr="00C76DF3" w:rsidRDefault="00C2473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7DBDE4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B32DDF3" w14:textId="77777777" w:rsidR="00712A35" w:rsidRDefault="00712A3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69C425C" w14:textId="77777777" w:rsidTr="00156F3C">
      <w:tc>
        <w:tcPr>
          <w:tcW w:w="1903" w:type="dxa"/>
          <w:shd w:val="clear" w:color="auto" w:fill="F2F2F2" w:themeFill="background1" w:themeFillShade="F2"/>
          <w:vAlign w:val="center"/>
        </w:tcPr>
        <w:p w14:paraId="28048D35" w14:textId="77777777" w:rsidR="00712A35" w:rsidRPr="00C76DF3" w:rsidRDefault="00C2473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1A9F794"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12A35" w:rsidRPr="00C76DF3" w:rsidRDefault="00C2473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F5067F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12A35" w:rsidRPr="00C76DF3" w:rsidRDefault="00C2473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FDADB2C"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1E4D0F43" w14:textId="77777777" w:rsidR="00712A35" w:rsidRDefault="00712A3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3E6524A4" w:rsidR="00712A35" w:rsidRDefault="00712A35"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rsidR="00A670C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1185498" w14:textId="77777777" w:rsidTr="00407C91">
      <w:tc>
        <w:tcPr>
          <w:tcW w:w="1903" w:type="dxa"/>
          <w:shd w:val="clear" w:color="auto" w:fill="BFBFBF" w:themeFill="background1" w:themeFillShade="BF"/>
          <w:vAlign w:val="center"/>
        </w:tcPr>
        <w:p w14:paraId="20A684DD" w14:textId="5F36FD2A" w:rsidR="00712A35" w:rsidRPr="00C76DF3" w:rsidRDefault="00C2473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F43E622"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12A35" w:rsidRPr="00C76DF3" w:rsidRDefault="00C2473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D5B7ABE"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12A35" w:rsidRPr="00C76DF3" w:rsidRDefault="00C2473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0C85A74E"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007799DB" w14:textId="77777777" w:rsidR="00712A35" w:rsidRDefault="00712A3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9F58494" w14:textId="77777777" w:rsidTr="002E19BD">
      <w:tc>
        <w:tcPr>
          <w:tcW w:w="1903" w:type="dxa"/>
          <w:shd w:val="clear" w:color="auto" w:fill="BFBFBF" w:themeFill="background1" w:themeFillShade="BF"/>
          <w:vAlign w:val="center"/>
        </w:tcPr>
        <w:p w14:paraId="40A9B302" w14:textId="77777777" w:rsidR="00712A35" w:rsidRPr="00C76DF3" w:rsidRDefault="00C2473B"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9451E0E" w14:textId="77777777" w:rsidR="00712A35" w:rsidRPr="00C76DF3" w:rsidRDefault="00712A3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12A35" w:rsidRPr="00C76DF3" w:rsidRDefault="00C2473B"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908C15B" w14:textId="77777777" w:rsidR="00712A35" w:rsidRPr="00C76DF3" w:rsidRDefault="00712A3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12A35" w:rsidRPr="00C76DF3" w:rsidRDefault="00C2473B"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DBB736F" w14:textId="77777777" w:rsidR="00712A35" w:rsidRPr="00C76DF3" w:rsidRDefault="00712A3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12A35" w:rsidRPr="00C76DF3" w:rsidRDefault="00C2473B"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12A35" w:rsidRPr="00C76DF3" w:rsidRDefault="00712A3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12A35" w:rsidRPr="00C76DF3" w:rsidRDefault="00C2473B"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55876EE2" w14:textId="77777777" w:rsidR="00712A35" w:rsidRDefault="00712A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49EBE58A" w14:textId="77777777" w:rsidTr="00B5200C">
      <w:tc>
        <w:tcPr>
          <w:tcW w:w="1255" w:type="dxa"/>
          <w:shd w:val="clear" w:color="auto" w:fill="F2F2F2" w:themeFill="background1" w:themeFillShade="F2"/>
          <w:vAlign w:val="center"/>
        </w:tcPr>
        <w:p w14:paraId="102377D2" w14:textId="77777777" w:rsidR="00712A35" w:rsidRPr="00C76DF3" w:rsidRDefault="00C2473B"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3BB867E4"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A35" w:rsidRPr="00C76DF3" w:rsidRDefault="00C2473B"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53D82520"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A35" w:rsidRPr="00C76DF3" w:rsidRDefault="00C2473B" w:rsidP="00370875">
          <w:pPr>
            <w:pStyle w:val="ProductList-OfferingBody"/>
            <w:ind w:left="-72" w:right="-75"/>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3" w:type="dxa"/>
          <w:tcBorders>
            <w:top w:val="nil"/>
            <w:bottom w:val="nil"/>
          </w:tcBorders>
          <w:vAlign w:val="center"/>
        </w:tcPr>
        <w:p w14:paraId="1125AF40"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A35" w:rsidRPr="00C76DF3" w:rsidRDefault="00C2473B"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5" w:type="dxa"/>
          <w:tcBorders>
            <w:top w:val="nil"/>
            <w:bottom w:val="nil"/>
          </w:tcBorders>
          <w:vAlign w:val="center"/>
        </w:tcPr>
        <w:p w14:paraId="1E5F93B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A35" w:rsidRPr="00C76DF3" w:rsidRDefault="00C2473B" w:rsidP="000506C5">
          <w:pPr>
            <w:pStyle w:val="ProductList-OfferingBody"/>
            <w:ind w:left="-72" w:right="-77"/>
            <w:jc w:val="center"/>
            <w:rPr>
              <w:color w:val="808080" w:themeColor="background1" w:themeShade="80"/>
              <w:sz w:val="14"/>
              <w:szCs w:val="14"/>
            </w:rPr>
          </w:pPr>
          <w:hyperlink w:anchor="OnlineServices" w:history="1">
            <w:r w:rsidR="00712A35">
              <w:rPr>
                <w:rStyle w:val="Hyperlink"/>
                <w:sz w:val="14"/>
                <w:szCs w:val="14"/>
              </w:rPr>
              <w:t>Služby online</w:t>
            </w:r>
          </w:hyperlink>
        </w:p>
      </w:tc>
      <w:tc>
        <w:tcPr>
          <w:tcW w:w="180" w:type="dxa"/>
          <w:tcBorders>
            <w:top w:val="nil"/>
            <w:bottom w:val="nil"/>
          </w:tcBorders>
        </w:tcPr>
        <w:p w14:paraId="774E3CA7"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A35" w:rsidRPr="00C76DF3" w:rsidRDefault="00C2473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A3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A35" w:rsidRPr="00C76DF3" w:rsidRDefault="00C2473B"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54B478A3"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A35" w:rsidRPr="00C76DF3" w:rsidRDefault="00C2473B"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79D1A8DC" w14:textId="77777777" w:rsidR="00712A35" w:rsidRDefault="00712A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480EF113" w14:textId="77777777" w:rsidTr="00407C91">
      <w:tc>
        <w:tcPr>
          <w:tcW w:w="1903" w:type="dxa"/>
          <w:shd w:val="clear" w:color="auto" w:fill="F2F2F2" w:themeFill="background1" w:themeFillShade="F2"/>
          <w:vAlign w:val="center"/>
        </w:tcPr>
        <w:p w14:paraId="4ED967DD" w14:textId="77777777" w:rsidR="00712A35" w:rsidRPr="00C76DF3" w:rsidRDefault="00C2473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05725EDB"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12A35" w:rsidRPr="00C76DF3" w:rsidRDefault="00C2473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7056D3C"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12A35" w:rsidRPr="00C76DF3" w:rsidRDefault="00C2473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2C927CB"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6F4C703" w14:textId="77777777" w:rsidR="00712A35" w:rsidRDefault="00712A3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FAD93F9" w14:textId="77777777" w:rsidTr="00156F3C">
      <w:tc>
        <w:tcPr>
          <w:tcW w:w="1903" w:type="dxa"/>
          <w:shd w:val="clear" w:color="auto" w:fill="F2F2F2" w:themeFill="background1" w:themeFillShade="F2"/>
          <w:vAlign w:val="center"/>
        </w:tcPr>
        <w:p w14:paraId="35533EE8" w14:textId="77777777" w:rsidR="00712A35" w:rsidRPr="00C76DF3" w:rsidRDefault="00C2473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5A1294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12A35" w:rsidRPr="00C76DF3" w:rsidRDefault="00C2473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02056A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12A35" w:rsidRPr="00C76DF3" w:rsidRDefault="00C2473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3255178"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1E61040" w14:textId="77777777" w:rsidR="00712A35" w:rsidRDefault="00712A3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3CE60E4" w14:textId="77777777" w:rsidTr="00407C91">
      <w:tc>
        <w:tcPr>
          <w:tcW w:w="1903" w:type="dxa"/>
          <w:shd w:val="clear" w:color="auto" w:fill="F2F2F2" w:themeFill="background1" w:themeFillShade="F2"/>
          <w:vAlign w:val="center"/>
        </w:tcPr>
        <w:p w14:paraId="00433435" w14:textId="77777777" w:rsidR="00712A35" w:rsidRPr="00C76DF3" w:rsidRDefault="00C2473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D36819D"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12A35" w:rsidRPr="00C76DF3" w:rsidRDefault="00C2473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6FBB978"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12A35" w:rsidRPr="00C76DF3" w:rsidRDefault="00C2473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36DCAB52"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67250E5D" w14:textId="77777777" w:rsidR="00712A35" w:rsidRDefault="00712A3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A8AEDCA" w14:textId="77777777" w:rsidTr="00156F3C">
      <w:tc>
        <w:tcPr>
          <w:tcW w:w="1903" w:type="dxa"/>
          <w:shd w:val="clear" w:color="auto" w:fill="F2F2F2" w:themeFill="background1" w:themeFillShade="F2"/>
          <w:vAlign w:val="center"/>
        </w:tcPr>
        <w:p w14:paraId="01B70779" w14:textId="77777777" w:rsidR="00712A35" w:rsidRPr="00C76DF3" w:rsidRDefault="00C2473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65A65DF5"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12A35" w:rsidRPr="00C76DF3" w:rsidRDefault="00C2473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165A7A3"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12A35" w:rsidRPr="00C76DF3" w:rsidRDefault="00C2473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F0AEB94"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12A35" w:rsidRPr="00C76DF3" w:rsidRDefault="00C2473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4D37DA95" w14:textId="77777777" w:rsidR="00712A35" w:rsidRDefault="00712A3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E6E21" w14:textId="77777777" w:rsidR="00F136FD" w:rsidRDefault="00F136FD" w:rsidP="009A573F">
      <w:pPr>
        <w:spacing w:after="0" w:line="240" w:lineRule="auto"/>
      </w:pPr>
      <w:r>
        <w:separator/>
      </w:r>
    </w:p>
  </w:footnote>
  <w:footnote w:type="continuationSeparator" w:id="0">
    <w:p w14:paraId="63AE3866" w14:textId="77777777" w:rsidR="00F136FD" w:rsidRDefault="00F136FD" w:rsidP="009A573F">
      <w:pPr>
        <w:spacing w:after="0" w:line="240" w:lineRule="auto"/>
      </w:pPr>
      <w:r>
        <w:continuationSeparator/>
      </w:r>
    </w:p>
  </w:footnote>
  <w:footnote w:type="continuationNotice" w:id="1">
    <w:p w14:paraId="4E729F65" w14:textId="77777777" w:rsidR="00F136FD" w:rsidRDefault="00F136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878888346"/>
      <w:docPartObj>
        <w:docPartGallery w:val="Page Numbers (Top of Page)"/>
        <w:docPartUnique/>
      </w:docPartObj>
    </w:sdtPr>
    <w:sdtEndPr/>
    <w:sdtContent>
      <w:p w14:paraId="20D2152F" w14:textId="499D841C" w:rsidR="00712A35" w:rsidRPr="00061AB1" w:rsidRDefault="00C2473B"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12A35">
              <w:rPr>
                <w:sz w:val="16"/>
                <w:szCs w:val="16"/>
              </w:rPr>
              <w:t>Smlouva o poskytování služeb pro služby online pro multilicenční programy společnosti Microsoft (</w:t>
            </w:r>
            <w:r w:rsidR="0076418C" w:rsidRPr="0076418C">
              <w:rPr>
                <w:sz w:val="16"/>
                <w:szCs w:val="16"/>
              </w:rPr>
              <w:t>Čeština</w:t>
            </w:r>
            <w:r w:rsidR="0076418C" w:rsidRPr="00920287">
              <w:rPr>
                <w:sz w:val="16"/>
                <w:szCs w:val="16"/>
              </w:rPr>
              <w:t>,</w:t>
            </w:r>
            <w:r w:rsidR="00920287" w:rsidRPr="00920287">
              <w:rPr>
                <w:sz w:val="16"/>
                <w:szCs w:val="16"/>
              </w:rPr>
              <w:t xml:space="preserve"> listopad</w:t>
            </w:r>
            <w:r w:rsidR="006E48E7" w:rsidRPr="00920287">
              <w:rPr>
                <w:sz w:val="16"/>
                <w:szCs w:val="16"/>
              </w:rPr>
              <w:t xml:space="preserve"> </w:t>
            </w:r>
            <w:r w:rsidR="00404BC4" w:rsidRPr="00920287">
              <w:rPr>
                <w:sz w:val="16"/>
                <w:szCs w:val="16"/>
              </w:rPr>
              <w:t>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20</w:t>
            </w:r>
            <w:r w:rsidR="00712A3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6E256836" w:rsidR="00712A35" w:rsidRPr="00061AB1" w:rsidRDefault="00C2473B"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12A35">
          <w:rPr>
            <w:sz w:val="16"/>
            <w:szCs w:val="16"/>
          </w:rPr>
          <w:t>Smlouva o poskytování služeb pro služby online pro multilicenční programy společnosti Microsoft (</w:t>
        </w:r>
        <w:r w:rsidR="0076418C" w:rsidRPr="0076418C">
          <w:rPr>
            <w:sz w:val="16"/>
            <w:szCs w:val="16"/>
          </w:rPr>
          <w:t xml:space="preserve">Čeština, </w:t>
        </w:r>
        <w:r w:rsidR="00920287">
          <w:rPr>
            <w:sz w:val="16"/>
            <w:szCs w:val="16"/>
          </w:rPr>
          <w:t>l</w:t>
        </w:r>
        <w:r w:rsidR="00920287" w:rsidRPr="00920287">
          <w:rPr>
            <w:sz w:val="16"/>
            <w:szCs w:val="16"/>
          </w:rPr>
          <w:t>istopad</w:t>
        </w:r>
        <w:r w:rsidR="006E48E7" w:rsidRPr="006E48E7">
          <w:rPr>
            <w:sz w:val="16"/>
            <w:szCs w:val="16"/>
          </w:rPr>
          <w:t xml:space="preserve"> </w:t>
        </w:r>
        <w:r w:rsidR="00404BC4" w:rsidRPr="00A46188">
          <w:rPr>
            <w:sz w:val="16"/>
            <w:szCs w:val="16"/>
          </w:rPr>
          <w:t>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7</w:t>
        </w:r>
        <w:r w:rsidR="00712A3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Kt/RhkH90h3qKzmjoZT8vZe6ZVv5+lSY20SxCTi8TXiOCUNXmpjzmpXnmY7HYnemKRGrf3DE0RBFG4t5pMYG1A==" w:salt="6j7/+1DUoRI0Y/2T1mNnd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2EB"/>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473B"/>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6FD"/>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2DDB"/>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10468</Words>
  <Characters>59670</Characters>
  <Application>Microsoft Office Word</Application>
  <DocSecurity>8</DocSecurity>
  <Lines>497</Lines>
  <Paragraphs>139</Paragraphs>
  <ScaleCrop>false</ScaleCrop>
  <LinksUpToDate>false</LinksUpToDate>
  <CharactersWithSpaces>69999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2020-10-30T15:53:00Z</dcterms:created>
  <dcterms:modified xsi:type="dcterms:W3CDTF">2020-10-30T15:53:00Z</dcterms:modified>
</cp:coreProperties>
</file>