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5FF1E50E" w:rsidR="00FD4A5C" w:rsidRPr="00FB368F" w:rsidRDefault="00FD4A5C" w:rsidP="00920FF5">
      <w:pPr>
        <w:pStyle w:val="ProductList-Body"/>
        <w:shd w:val="clear" w:color="auto" w:fill="0072C6"/>
        <w:tabs>
          <w:tab w:val="clear" w:pos="360"/>
          <w:tab w:val="clear" w:pos="720"/>
          <w:tab w:val="clear" w:pos="1080"/>
          <w:tab w:val="left" w:pos="324"/>
        </w:tabs>
        <w:ind w:right="1800" w:firstLine="360"/>
      </w:pPr>
      <w:r>
        <w:rPr>
          <w:rFonts w:asciiTheme="majorHAnsi" w:hAnsiTheme="majorHAnsi"/>
          <w:color w:val="FFFFFF" w:themeColor="background1"/>
          <w:sz w:val="72"/>
          <w:szCs w:val="72"/>
        </w:rPr>
        <w:t xml:space="preserve">Contrat de Niveau de Service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pour</w:t>
      </w:r>
    </w:p>
    <w:p w14:paraId="5DFA91A6" w14:textId="168AAF34" w:rsidR="00807C36" w:rsidRPr="00FB368F" w:rsidRDefault="00FD4A5C" w:rsidP="00920FF5">
      <w:pPr>
        <w:pStyle w:val="ProductList-Body"/>
        <w:shd w:val="clear" w:color="auto" w:fill="0072C6"/>
        <w:tabs>
          <w:tab w:val="clear" w:pos="360"/>
          <w:tab w:val="clear" w:pos="720"/>
          <w:tab w:val="clear" w:pos="1080"/>
          <w:tab w:val="left" w:pos="331"/>
        </w:tabs>
        <w:ind w:right="1800" w:firstLine="360"/>
      </w:pPr>
      <w:r>
        <w:rPr>
          <w:rFonts w:asciiTheme="majorHAnsi" w:hAnsiTheme="majorHAnsi"/>
          <w:color w:val="FFFFFF" w:themeColor="background1"/>
          <w:sz w:val="72"/>
          <w:szCs w:val="72"/>
        </w:rPr>
        <w:t xml:space="preserve">les Services en Ligne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B26C76" w14:textId="09C320AE" w:rsidR="00807C36" w:rsidRPr="00FB368F" w:rsidRDefault="00FD4A5C" w:rsidP="00F439B9">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439B9">
        <w:rPr>
          <w:rFonts w:asciiTheme="majorHAnsi" w:hAnsiTheme="majorHAnsi"/>
          <w:color w:val="FFFFFF" w:themeColor="background1"/>
          <w:sz w:val="72"/>
          <w:szCs w:val="72"/>
        </w:rPr>
        <w:t>5</w:t>
      </w:r>
      <w:r>
        <w:rPr>
          <w:rFonts w:asciiTheme="majorHAnsi" w:hAnsiTheme="majorHAnsi"/>
          <w:color w:val="FFFFFF" w:themeColor="background1"/>
          <w:sz w:val="72"/>
          <w:szCs w:val="72"/>
        </w:rPr>
        <w:t> avril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2625"/>
      <w:r w:rsidRPr="00184988">
        <w:rPr>
          <w:lang w:val="en-US" w:eastAsia="en-US" w:bidi="ar-SA"/>
        </w:rPr>
        <w:lastRenderedPageBreak/>
        <w:t>Table des matières</w:t>
      </w:r>
      <w:bookmarkEnd w:id="2"/>
      <w:bookmarkEnd w:id="3"/>
    </w:p>
    <w:p w14:paraId="3A0D8501" w14:textId="77777777" w:rsidR="00F439B9"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2625" w:history="1">
        <w:r w:rsidR="00F439B9" w:rsidRPr="00C1193B">
          <w:rPr>
            <w:rStyle w:val="Hyperlink"/>
            <w:noProof/>
            <w:lang w:val="en-US" w:eastAsia="en-US" w:bidi="ar-SA"/>
          </w:rPr>
          <w:t>Table des matières</w:t>
        </w:r>
        <w:r w:rsidR="00F439B9">
          <w:rPr>
            <w:noProof/>
            <w:webHidden/>
          </w:rPr>
          <w:tab/>
        </w:r>
        <w:r w:rsidR="00F439B9">
          <w:rPr>
            <w:noProof/>
            <w:webHidden/>
          </w:rPr>
          <w:fldChar w:fldCharType="begin"/>
        </w:r>
        <w:r w:rsidR="00F439B9">
          <w:rPr>
            <w:noProof/>
            <w:webHidden/>
          </w:rPr>
          <w:instrText xml:space="preserve"> PAGEREF _Toc416782625 \h </w:instrText>
        </w:r>
        <w:r w:rsidR="00F439B9">
          <w:rPr>
            <w:noProof/>
            <w:webHidden/>
          </w:rPr>
        </w:r>
        <w:r w:rsidR="00F439B9">
          <w:rPr>
            <w:noProof/>
            <w:webHidden/>
          </w:rPr>
          <w:fldChar w:fldCharType="separate"/>
        </w:r>
        <w:r w:rsidR="00F439B9">
          <w:rPr>
            <w:noProof/>
            <w:webHidden/>
          </w:rPr>
          <w:t>2</w:t>
        </w:r>
        <w:r w:rsidR="00F439B9">
          <w:rPr>
            <w:noProof/>
            <w:webHidden/>
          </w:rPr>
          <w:fldChar w:fldCharType="end"/>
        </w:r>
      </w:hyperlink>
    </w:p>
    <w:p w14:paraId="33B455A0" w14:textId="77777777" w:rsidR="00F439B9" w:rsidRDefault="0036129B">
      <w:pPr>
        <w:pStyle w:val="TOC1"/>
        <w:tabs>
          <w:tab w:val="right" w:leader="dot" w:pos="5030"/>
        </w:tabs>
        <w:rPr>
          <w:rFonts w:eastAsiaTheme="minorEastAsia"/>
          <w:b w:val="0"/>
          <w:caps w:val="0"/>
          <w:noProof/>
          <w:sz w:val="22"/>
          <w:lang w:val="en-US" w:eastAsia="zh-CN" w:bidi="he-IL"/>
        </w:rPr>
      </w:pPr>
      <w:hyperlink w:anchor="_Toc416782626" w:history="1">
        <w:r w:rsidR="00F439B9" w:rsidRPr="00C1193B">
          <w:rPr>
            <w:rStyle w:val="Hyperlink"/>
            <w:noProof/>
          </w:rPr>
          <w:t>Introduction</w:t>
        </w:r>
        <w:r w:rsidR="00F439B9">
          <w:rPr>
            <w:noProof/>
            <w:webHidden/>
          </w:rPr>
          <w:tab/>
        </w:r>
        <w:r w:rsidR="00F439B9">
          <w:rPr>
            <w:noProof/>
            <w:webHidden/>
          </w:rPr>
          <w:fldChar w:fldCharType="begin"/>
        </w:r>
        <w:r w:rsidR="00F439B9">
          <w:rPr>
            <w:noProof/>
            <w:webHidden/>
          </w:rPr>
          <w:instrText xml:space="preserve"> PAGEREF _Toc416782626 \h </w:instrText>
        </w:r>
        <w:r w:rsidR="00F439B9">
          <w:rPr>
            <w:noProof/>
            <w:webHidden/>
          </w:rPr>
        </w:r>
        <w:r w:rsidR="00F439B9">
          <w:rPr>
            <w:noProof/>
            <w:webHidden/>
          </w:rPr>
          <w:fldChar w:fldCharType="separate"/>
        </w:r>
        <w:r w:rsidR="00F439B9">
          <w:rPr>
            <w:noProof/>
            <w:webHidden/>
          </w:rPr>
          <w:t>3</w:t>
        </w:r>
        <w:r w:rsidR="00F439B9">
          <w:rPr>
            <w:noProof/>
            <w:webHidden/>
          </w:rPr>
          <w:fldChar w:fldCharType="end"/>
        </w:r>
      </w:hyperlink>
    </w:p>
    <w:p w14:paraId="2845A1EF" w14:textId="77777777" w:rsidR="00F439B9" w:rsidRDefault="0036129B">
      <w:pPr>
        <w:pStyle w:val="TOC3"/>
        <w:tabs>
          <w:tab w:val="right" w:leader="dot" w:pos="5030"/>
        </w:tabs>
        <w:rPr>
          <w:rFonts w:eastAsiaTheme="minorEastAsia"/>
          <w:smallCaps w:val="0"/>
          <w:noProof/>
          <w:sz w:val="22"/>
          <w:lang w:val="en-US" w:eastAsia="zh-CN" w:bidi="he-IL"/>
        </w:rPr>
      </w:pPr>
      <w:hyperlink w:anchor="_Toc416782627" w:history="1">
        <w:r w:rsidR="00F439B9" w:rsidRPr="00C1193B">
          <w:rPr>
            <w:rStyle w:val="Hyperlink"/>
            <w:noProof/>
            <w:lang w:eastAsia="en-US" w:bidi="ar-SA"/>
          </w:rPr>
          <w:t>À propos de ce Document</w:t>
        </w:r>
        <w:r w:rsidR="00F439B9">
          <w:rPr>
            <w:noProof/>
            <w:webHidden/>
          </w:rPr>
          <w:tab/>
        </w:r>
        <w:r w:rsidR="00F439B9">
          <w:rPr>
            <w:noProof/>
            <w:webHidden/>
          </w:rPr>
          <w:fldChar w:fldCharType="begin"/>
        </w:r>
        <w:r w:rsidR="00F439B9">
          <w:rPr>
            <w:noProof/>
            <w:webHidden/>
          </w:rPr>
          <w:instrText xml:space="preserve"> PAGEREF _Toc416782627 \h </w:instrText>
        </w:r>
        <w:r w:rsidR="00F439B9">
          <w:rPr>
            <w:noProof/>
            <w:webHidden/>
          </w:rPr>
        </w:r>
        <w:r w:rsidR="00F439B9">
          <w:rPr>
            <w:noProof/>
            <w:webHidden/>
          </w:rPr>
          <w:fldChar w:fldCharType="separate"/>
        </w:r>
        <w:r w:rsidR="00F439B9">
          <w:rPr>
            <w:noProof/>
            <w:webHidden/>
          </w:rPr>
          <w:t>3</w:t>
        </w:r>
        <w:r w:rsidR="00F439B9">
          <w:rPr>
            <w:noProof/>
            <w:webHidden/>
          </w:rPr>
          <w:fldChar w:fldCharType="end"/>
        </w:r>
      </w:hyperlink>
    </w:p>
    <w:p w14:paraId="12621A41" w14:textId="77777777" w:rsidR="00F439B9" w:rsidRDefault="0036129B">
      <w:pPr>
        <w:pStyle w:val="TOC3"/>
        <w:tabs>
          <w:tab w:val="right" w:leader="dot" w:pos="5030"/>
        </w:tabs>
        <w:rPr>
          <w:rFonts w:eastAsiaTheme="minorEastAsia"/>
          <w:smallCaps w:val="0"/>
          <w:noProof/>
          <w:sz w:val="22"/>
          <w:lang w:val="en-US" w:eastAsia="zh-CN" w:bidi="he-IL"/>
        </w:rPr>
      </w:pPr>
      <w:hyperlink w:anchor="_Toc416782628" w:history="1">
        <w:r w:rsidR="00F439B9" w:rsidRPr="00C1193B">
          <w:rPr>
            <w:rStyle w:val="Hyperlink"/>
            <w:noProof/>
            <w:lang w:eastAsia="en-US" w:bidi="ar-SA"/>
          </w:rPr>
          <w:t>Versions antérieures de ce Document</w:t>
        </w:r>
        <w:r w:rsidR="00F439B9">
          <w:rPr>
            <w:noProof/>
            <w:webHidden/>
          </w:rPr>
          <w:tab/>
        </w:r>
        <w:r w:rsidR="00F439B9">
          <w:rPr>
            <w:noProof/>
            <w:webHidden/>
          </w:rPr>
          <w:fldChar w:fldCharType="begin"/>
        </w:r>
        <w:r w:rsidR="00F439B9">
          <w:rPr>
            <w:noProof/>
            <w:webHidden/>
          </w:rPr>
          <w:instrText xml:space="preserve"> PAGEREF _Toc416782628 \h </w:instrText>
        </w:r>
        <w:r w:rsidR="00F439B9">
          <w:rPr>
            <w:noProof/>
            <w:webHidden/>
          </w:rPr>
        </w:r>
        <w:r w:rsidR="00F439B9">
          <w:rPr>
            <w:noProof/>
            <w:webHidden/>
          </w:rPr>
          <w:fldChar w:fldCharType="separate"/>
        </w:r>
        <w:r w:rsidR="00F439B9">
          <w:rPr>
            <w:noProof/>
            <w:webHidden/>
          </w:rPr>
          <w:t>3</w:t>
        </w:r>
        <w:r w:rsidR="00F439B9">
          <w:rPr>
            <w:noProof/>
            <w:webHidden/>
          </w:rPr>
          <w:fldChar w:fldCharType="end"/>
        </w:r>
      </w:hyperlink>
    </w:p>
    <w:p w14:paraId="5895ED94" w14:textId="77777777" w:rsidR="00F439B9" w:rsidRDefault="0036129B">
      <w:pPr>
        <w:pStyle w:val="TOC3"/>
        <w:tabs>
          <w:tab w:val="right" w:leader="dot" w:pos="5030"/>
        </w:tabs>
        <w:rPr>
          <w:rFonts w:eastAsiaTheme="minorEastAsia"/>
          <w:smallCaps w:val="0"/>
          <w:noProof/>
          <w:sz w:val="22"/>
          <w:lang w:val="en-US" w:eastAsia="zh-CN" w:bidi="he-IL"/>
        </w:rPr>
      </w:pPr>
      <w:hyperlink w:anchor="_Toc416782629" w:history="1">
        <w:r w:rsidR="00F439B9" w:rsidRPr="00C1193B">
          <w:rPr>
            <w:rStyle w:val="Hyperlink"/>
            <w:noProof/>
            <w:lang w:eastAsia="en-US" w:bidi="ar-SA"/>
          </w:rPr>
          <w:t>Clarifications et synthèse des modifications apportées à ce Document</w:t>
        </w:r>
        <w:r w:rsidR="00F439B9">
          <w:rPr>
            <w:noProof/>
            <w:webHidden/>
          </w:rPr>
          <w:tab/>
        </w:r>
        <w:r w:rsidR="00F439B9">
          <w:rPr>
            <w:noProof/>
            <w:webHidden/>
          </w:rPr>
          <w:fldChar w:fldCharType="begin"/>
        </w:r>
        <w:r w:rsidR="00F439B9">
          <w:rPr>
            <w:noProof/>
            <w:webHidden/>
          </w:rPr>
          <w:instrText xml:space="preserve"> PAGEREF _Toc416782629 \h </w:instrText>
        </w:r>
        <w:r w:rsidR="00F439B9">
          <w:rPr>
            <w:noProof/>
            <w:webHidden/>
          </w:rPr>
        </w:r>
        <w:r w:rsidR="00F439B9">
          <w:rPr>
            <w:noProof/>
            <w:webHidden/>
          </w:rPr>
          <w:fldChar w:fldCharType="separate"/>
        </w:r>
        <w:r w:rsidR="00F439B9">
          <w:rPr>
            <w:noProof/>
            <w:webHidden/>
          </w:rPr>
          <w:t>3</w:t>
        </w:r>
        <w:r w:rsidR="00F439B9">
          <w:rPr>
            <w:noProof/>
            <w:webHidden/>
          </w:rPr>
          <w:fldChar w:fldCharType="end"/>
        </w:r>
      </w:hyperlink>
    </w:p>
    <w:p w14:paraId="0AC828ED" w14:textId="77777777" w:rsidR="00F439B9" w:rsidRDefault="0036129B">
      <w:pPr>
        <w:pStyle w:val="TOC1"/>
        <w:tabs>
          <w:tab w:val="right" w:leader="dot" w:pos="5030"/>
        </w:tabs>
        <w:rPr>
          <w:rFonts w:eastAsiaTheme="minorEastAsia"/>
          <w:b w:val="0"/>
          <w:caps w:val="0"/>
          <w:noProof/>
          <w:sz w:val="22"/>
          <w:lang w:val="en-US" w:eastAsia="zh-CN" w:bidi="he-IL"/>
        </w:rPr>
      </w:pPr>
      <w:hyperlink w:anchor="_Toc416782630" w:history="1">
        <w:r w:rsidR="00F439B9" w:rsidRPr="00C1193B">
          <w:rPr>
            <w:rStyle w:val="Hyperlink"/>
            <w:noProof/>
            <w:lang w:val="en-US" w:eastAsia="en-US" w:bidi="ar-SA"/>
          </w:rPr>
          <w:t>Conditions Générales</w:t>
        </w:r>
        <w:r w:rsidR="00F439B9">
          <w:rPr>
            <w:noProof/>
            <w:webHidden/>
          </w:rPr>
          <w:tab/>
        </w:r>
        <w:r w:rsidR="00F439B9">
          <w:rPr>
            <w:noProof/>
            <w:webHidden/>
          </w:rPr>
          <w:fldChar w:fldCharType="begin"/>
        </w:r>
        <w:r w:rsidR="00F439B9">
          <w:rPr>
            <w:noProof/>
            <w:webHidden/>
          </w:rPr>
          <w:instrText xml:space="preserve"> PAGEREF _Toc416782630 \h </w:instrText>
        </w:r>
        <w:r w:rsidR="00F439B9">
          <w:rPr>
            <w:noProof/>
            <w:webHidden/>
          </w:rPr>
        </w:r>
        <w:r w:rsidR="00F439B9">
          <w:rPr>
            <w:noProof/>
            <w:webHidden/>
          </w:rPr>
          <w:fldChar w:fldCharType="separate"/>
        </w:r>
        <w:r w:rsidR="00F439B9">
          <w:rPr>
            <w:noProof/>
            <w:webHidden/>
          </w:rPr>
          <w:t>4</w:t>
        </w:r>
        <w:r w:rsidR="00F439B9">
          <w:rPr>
            <w:noProof/>
            <w:webHidden/>
          </w:rPr>
          <w:fldChar w:fldCharType="end"/>
        </w:r>
      </w:hyperlink>
    </w:p>
    <w:p w14:paraId="3BD6BDA0"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31" w:history="1">
        <w:r w:rsidR="00F439B9" w:rsidRPr="00C1193B">
          <w:rPr>
            <w:rStyle w:val="Hyperlink"/>
            <w:noProof/>
            <w:lang w:val="en-US" w:eastAsia="en-US" w:bidi="ar-SA"/>
          </w:rPr>
          <w:t>Définitions</w:t>
        </w:r>
        <w:r w:rsidR="00F439B9">
          <w:rPr>
            <w:noProof/>
            <w:webHidden/>
          </w:rPr>
          <w:tab/>
        </w:r>
        <w:r w:rsidR="00F439B9">
          <w:rPr>
            <w:noProof/>
            <w:webHidden/>
          </w:rPr>
          <w:fldChar w:fldCharType="begin"/>
        </w:r>
        <w:r w:rsidR="00F439B9">
          <w:rPr>
            <w:noProof/>
            <w:webHidden/>
          </w:rPr>
          <w:instrText xml:space="preserve"> PAGEREF _Toc416782631 \h </w:instrText>
        </w:r>
        <w:r w:rsidR="00F439B9">
          <w:rPr>
            <w:noProof/>
            <w:webHidden/>
          </w:rPr>
        </w:r>
        <w:r w:rsidR="00F439B9">
          <w:rPr>
            <w:noProof/>
            <w:webHidden/>
          </w:rPr>
          <w:fldChar w:fldCharType="separate"/>
        </w:r>
        <w:r w:rsidR="00F439B9">
          <w:rPr>
            <w:noProof/>
            <w:webHidden/>
          </w:rPr>
          <w:t>4</w:t>
        </w:r>
        <w:r w:rsidR="00F439B9">
          <w:rPr>
            <w:noProof/>
            <w:webHidden/>
          </w:rPr>
          <w:fldChar w:fldCharType="end"/>
        </w:r>
      </w:hyperlink>
    </w:p>
    <w:p w14:paraId="38357F70"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32" w:history="1">
        <w:r w:rsidR="00F439B9" w:rsidRPr="00C1193B">
          <w:rPr>
            <w:rStyle w:val="Hyperlink"/>
            <w:noProof/>
            <w:lang w:eastAsia="en-US" w:bidi="ar-SA"/>
          </w:rPr>
          <w:t>Conditions</w:t>
        </w:r>
        <w:r w:rsidR="00F439B9">
          <w:rPr>
            <w:noProof/>
            <w:webHidden/>
          </w:rPr>
          <w:tab/>
        </w:r>
        <w:r w:rsidR="00F439B9">
          <w:rPr>
            <w:noProof/>
            <w:webHidden/>
          </w:rPr>
          <w:fldChar w:fldCharType="begin"/>
        </w:r>
        <w:r w:rsidR="00F439B9">
          <w:rPr>
            <w:noProof/>
            <w:webHidden/>
          </w:rPr>
          <w:instrText xml:space="preserve"> PAGEREF _Toc416782632 \h </w:instrText>
        </w:r>
        <w:r w:rsidR="00F439B9">
          <w:rPr>
            <w:noProof/>
            <w:webHidden/>
          </w:rPr>
        </w:r>
        <w:r w:rsidR="00F439B9">
          <w:rPr>
            <w:noProof/>
            <w:webHidden/>
          </w:rPr>
          <w:fldChar w:fldCharType="separate"/>
        </w:r>
        <w:r w:rsidR="00F439B9">
          <w:rPr>
            <w:noProof/>
            <w:webHidden/>
          </w:rPr>
          <w:t>4</w:t>
        </w:r>
        <w:r w:rsidR="00F439B9">
          <w:rPr>
            <w:noProof/>
            <w:webHidden/>
          </w:rPr>
          <w:fldChar w:fldCharType="end"/>
        </w:r>
      </w:hyperlink>
    </w:p>
    <w:p w14:paraId="7766BD22" w14:textId="77777777" w:rsidR="00F439B9" w:rsidRDefault="0036129B">
      <w:pPr>
        <w:pStyle w:val="TOC1"/>
        <w:tabs>
          <w:tab w:val="right" w:leader="dot" w:pos="5030"/>
        </w:tabs>
        <w:rPr>
          <w:rFonts w:eastAsiaTheme="minorEastAsia"/>
          <w:b w:val="0"/>
          <w:caps w:val="0"/>
          <w:noProof/>
          <w:sz w:val="22"/>
          <w:lang w:val="en-US" w:eastAsia="zh-CN" w:bidi="he-IL"/>
        </w:rPr>
      </w:pPr>
      <w:hyperlink w:anchor="_Toc416782633" w:history="1">
        <w:r w:rsidR="00F439B9" w:rsidRPr="00C1193B">
          <w:rPr>
            <w:rStyle w:val="Hyperlink"/>
            <w:noProof/>
            <w:lang w:eastAsia="en-US" w:bidi="ar-SA"/>
          </w:rPr>
          <w:t>Conditions Spécifiques des Services</w:t>
        </w:r>
        <w:r w:rsidR="00F439B9">
          <w:rPr>
            <w:noProof/>
            <w:webHidden/>
          </w:rPr>
          <w:tab/>
        </w:r>
        <w:r w:rsidR="00F439B9">
          <w:rPr>
            <w:noProof/>
            <w:webHidden/>
          </w:rPr>
          <w:fldChar w:fldCharType="begin"/>
        </w:r>
        <w:r w:rsidR="00F439B9">
          <w:rPr>
            <w:noProof/>
            <w:webHidden/>
          </w:rPr>
          <w:instrText xml:space="preserve"> PAGEREF _Toc416782633 \h </w:instrText>
        </w:r>
        <w:r w:rsidR="00F439B9">
          <w:rPr>
            <w:noProof/>
            <w:webHidden/>
          </w:rPr>
        </w:r>
        <w:r w:rsidR="00F439B9">
          <w:rPr>
            <w:noProof/>
            <w:webHidden/>
          </w:rPr>
          <w:fldChar w:fldCharType="separate"/>
        </w:r>
        <w:r w:rsidR="00F439B9">
          <w:rPr>
            <w:noProof/>
            <w:webHidden/>
          </w:rPr>
          <w:t>6</w:t>
        </w:r>
        <w:r w:rsidR="00F439B9">
          <w:rPr>
            <w:noProof/>
            <w:webHidden/>
          </w:rPr>
          <w:fldChar w:fldCharType="end"/>
        </w:r>
      </w:hyperlink>
    </w:p>
    <w:p w14:paraId="3B72AC33"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34" w:history="1">
        <w:r w:rsidR="00F439B9" w:rsidRPr="00C1193B">
          <w:rPr>
            <w:rStyle w:val="Hyperlink"/>
            <w:noProof/>
          </w:rPr>
          <w:t>Microsoft Dynamics</w:t>
        </w:r>
        <w:r w:rsidR="00F439B9">
          <w:rPr>
            <w:noProof/>
            <w:webHidden/>
          </w:rPr>
          <w:tab/>
        </w:r>
        <w:r w:rsidR="00F439B9">
          <w:rPr>
            <w:noProof/>
            <w:webHidden/>
          </w:rPr>
          <w:fldChar w:fldCharType="begin"/>
        </w:r>
        <w:r w:rsidR="00F439B9">
          <w:rPr>
            <w:noProof/>
            <w:webHidden/>
          </w:rPr>
          <w:instrText xml:space="preserve"> PAGEREF _Toc416782634 \h </w:instrText>
        </w:r>
        <w:r w:rsidR="00F439B9">
          <w:rPr>
            <w:noProof/>
            <w:webHidden/>
          </w:rPr>
        </w:r>
        <w:r w:rsidR="00F439B9">
          <w:rPr>
            <w:noProof/>
            <w:webHidden/>
          </w:rPr>
          <w:fldChar w:fldCharType="separate"/>
        </w:r>
        <w:r w:rsidR="00F439B9">
          <w:rPr>
            <w:noProof/>
            <w:webHidden/>
          </w:rPr>
          <w:t>6</w:t>
        </w:r>
        <w:r w:rsidR="00F439B9">
          <w:rPr>
            <w:noProof/>
            <w:webHidden/>
          </w:rPr>
          <w:fldChar w:fldCharType="end"/>
        </w:r>
      </w:hyperlink>
    </w:p>
    <w:p w14:paraId="3944FB44"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35" w:history="1">
        <w:r w:rsidR="00F439B9" w:rsidRPr="00C1193B">
          <w:rPr>
            <w:rStyle w:val="Hyperlink"/>
            <w:noProof/>
          </w:rPr>
          <w:t>Microsoft Dynamics CRM</w:t>
        </w:r>
        <w:r w:rsidR="00F439B9">
          <w:rPr>
            <w:noProof/>
            <w:webHidden/>
          </w:rPr>
          <w:tab/>
        </w:r>
        <w:r w:rsidR="00F439B9">
          <w:rPr>
            <w:noProof/>
            <w:webHidden/>
          </w:rPr>
          <w:fldChar w:fldCharType="begin"/>
        </w:r>
        <w:r w:rsidR="00F439B9">
          <w:rPr>
            <w:noProof/>
            <w:webHidden/>
          </w:rPr>
          <w:instrText xml:space="preserve"> PAGEREF _Toc416782635 \h </w:instrText>
        </w:r>
        <w:r w:rsidR="00F439B9">
          <w:rPr>
            <w:noProof/>
            <w:webHidden/>
          </w:rPr>
        </w:r>
        <w:r w:rsidR="00F439B9">
          <w:rPr>
            <w:noProof/>
            <w:webHidden/>
          </w:rPr>
          <w:fldChar w:fldCharType="separate"/>
        </w:r>
        <w:r w:rsidR="00F439B9">
          <w:rPr>
            <w:noProof/>
            <w:webHidden/>
          </w:rPr>
          <w:t>6</w:t>
        </w:r>
        <w:r w:rsidR="00F439B9">
          <w:rPr>
            <w:noProof/>
            <w:webHidden/>
          </w:rPr>
          <w:fldChar w:fldCharType="end"/>
        </w:r>
      </w:hyperlink>
    </w:p>
    <w:p w14:paraId="26683845"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36" w:history="1">
        <w:r w:rsidR="00F439B9" w:rsidRPr="00C1193B">
          <w:rPr>
            <w:rStyle w:val="Hyperlink"/>
            <w:noProof/>
            <w:lang w:val="en-US" w:eastAsia="en-US" w:bidi="ar-SA"/>
          </w:rPr>
          <w:t>Services Office 365</w:t>
        </w:r>
        <w:r w:rsidR="00F439B9">
          <w:rPr>
            <w:noProof/>
            <w:webHidden/>
          </w:rPr>
          <w:tab/>
        </w:r>
        <w:r w:rsidR="00F439B9">
          <w:rPr>
            <w:noProof/>
            <w:webHidden/>
          </w:rPr>
          <w:fldChar w:fldCharType="begin"/>
        </w:r>
        <w:r w:rsidR="00F439B9">
          <w:rPr>
            <w:noProof/>
            <w:webHidden/>
          </w:rPr>
          <w:instrText xml:space="preserve"> PAGEREF _Toc416782636 \h </w:instrText>
        </w:r>
        <w:r w:rsidR="00F439B9">
          <w:rPr>
            <w:noProof/>
            <w:webHidden/>
          </w:rPr>
        </w:r>
        <w:r w:rsidR="00F439B9">
          <w:rPr>
            <w:noProof/>
            <w:webHidden/>
          </w:rPr>
          <w:fldChar w:fldCharType="separate"/>
        </w:r>
        <w:r w:rsidR="00F439B9">
          <w:rPr>
            <w:noProof/>
            <w:webHidden/>
          </w:rPr>
          <w:t>6</w:t>
        </w:r>
        <w:r w:rsidR="00F439B9">
          <w:rPr>
            <w:noProof/>
            <w:webHidden/>
          </w:rPr>
          <w:fldChar w:fldCharType="end"/>
        </w:r>
      </w:hyperlink>
    </w:p>
    <w:p w14:paraId="07437D5F"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37" w:history="1">
        <w:r w:rsidR="00F439B9" w:rsidRPr="00C1193B">
          <w:rPr>
            <w:rStyle w:val="Hyperlink"/>
            <w:noProof/>
            <w:lang w:val="en-US" w:eastAsia="en-US" w:bidi="ar-SA"/>
          </w:rPr>
          <w:t>Duet Enterprise Online</w:t>
        </w:r>
        <w:r w:rsidR="00F439B9">
          <w:rPr>
            <w:noProof/>
            <w:webHidden/>
          </w:rPr>
          <w:tab/>
        </w:r>
        <w:r w:rsidR="00F439B9">
          <w:rPr>
            <w:noProof/>
            <w:webHidden/>
          </w:rPr>
          <w:fldChar w:fldCharType="begin"/>
        </w:r>
        <w:r w:rsidR="00F439B9">
          <w:rPr>
            <w:noProof/>
            <w:webHidden/>
          </w:rPr>
          <w:instrText xml:space="preserve"> PAGEREF _Toc416782637 \h </w:instrText>
        </w:r>
        <w:r w:rsidR="00F439B9">
          <w:rPr>
            <w:noProof/>
            <w:webHidden/>
          </w:rPr>
        </w:r>
        <w:r w:rsidR="00F439B9">
          <w:rPr>
            <w:noProof/>
            <w:webHidden/>
          </w:rPr>
          <w:fldChar w:fldCharType="separate"/>
        </w:r>
        <w:r w:rsidR="00F439B9">
          <w:rPr>
            <w:noProof/>
            <w:webHidden/>
          </w:rPr>
          <w:t>6</w:t>
        </w:r>
        <w:r w:rsidR="00F439B9">
          <w:rPr>
            <w:noProof/>
            <w:webHidden/>
          </w:rPr>
          <w:fldChar w:fldCharType="end"/>
        </w:r>
      </w:hyperlink>
    </w:p>
    <w:p w14:paraId="432D51DF"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38" w:history="1">
        <w:r w:rsidR="00F439B9" w:rsidRPr="00C1193B">
          <w:rPr>
            <w:rStyle w:val="Hyperlink"/>
            <w:noProof/>
            <w:lang w:eastAsia="en-US" w:bidi="ar-SA"/>
          </w:rPr>
          <w:t>Exchange Online</w:t>
        </w:r>
        <w:r w:rsidR="00F439B9">
          <w:rPr>
            <w:noProof/>
            <w:webHidden/>
          </w:rPr>
          <w:tab/>
        </w:r>
        <w:r w:rsidR="00F439B9">
          <w:rPr>
            <w:noProof/>
            <w:webHidden/>
          </w:rPr>
          <w:fldChar w:fldCharType="begin"/>
        </w:r>
        <w:r w:rsidR="00F439B9">
          <w:rPr>
            <w:noProof/>
            <w:webHidden/>
          </w:rPr>
          <w:instrText xml:space="preserve"> PAGEREF _Toc416782638 \h </w:instrText>
        </w:r>
        <w:r w:rsidR="00F439B9">
          <w:rPr>
            <w:noProof/>
            <w:webHidden/>
          </w:rPr>
        </w:r>
        <w:r w:rsidR="00F439B9">
          <w:rPr>
            <w:noProof/>
            <w:webHidden/>
          </w:rPr>
          <w:fldChar w:fldCharType="separate"/>
        </w:r>
        <w:r w:rsidR="00F439B9">
          <w:rPr>
            <w:noProof/>
            <w:webHidden/>
          </w:rPr>
          <w:t>7</w:t>
        </w:r>
        <w:r w:rsidR="00F439B9">
          <w:rPr>
            <w:noProof/>
            <w:webHidden/>
          </w:rPr>
          <w:fldChar w:fldCharType="end"/>
        </w:r>
      </w:hyperlink>
    </w:p>
    <w:p w14:paraId="3CAA9FD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39" w:history="1">
        <w:r w:rsidR="00F439B9" w:rsidRPr="00C1193B">
          <w:rPr>
            <w:rStyle w:val="Hyperlink"/>
            <w:noProof/>
            <w:lang w:eastAsia="en-US" w:bidi="ar-SA"/>
          </w:rPr>
          <w:t>Exchange Online Archiving</w:t>
        </w:r>
        <w:r w:rsidR="00F439B9">
          <w:rPr>
            <w:noProof/>
            <w:webHidden/>
          </w:rPr>
          <w:tab/>
        </w:r>
        <w:r w:rsidR="00F439B9">
          <w:rPr>
            <w:noProof/>
            <w:webHidden/>
          </w:rPr>
          <w:fldChar w:fldCharType="begin"/>
        </w:r>
        <w:r w:rsidR="00F439B9">
          <w:rPr>
            <w:noProof/>
            <w:webHidden/>
          </w:rPr>
          <w:instrText xml:space="preserve"> PAGEREF _Toc416782639 \h </w:instrText>
        </w:r>
        <w:r w:rsidR="00F439B9">
          <w:rPr>
            <w:noProof/>
            <w:webHidden/>
          </w:rPr>
        </w:r>
        <w:r w:rsidR="00F439B9">
          <w:rPr>
            <w:noProof/>
            <w:webHidden/>
          </w:rPr>
          <w:fldChar w:fldCharType="separate"/>
        </w:r>
        <w:r w:rsidR="00F439B9">
          <w:rPr>
            <w:noProof/>
            <w:webHidden/>
          </w:rPr>
          <w:t>7</w:t>
        </w:r>
        <w:r w:rsidR="00F439B9">
          <w:rPr>
            <w:noProof/>
            <w:webHidden/>
          </w:rPr>
          <w:fldChar w:fldCharType="end"/>
        </w:r>
      </w:hyperlink>
    </w:p>
    <w:p w14:paraId="78C3E8E7"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0" w:history="1">
        <w:r w:rsidR="00F439B9" w:rsidRPr="00C1193B">
          <w:rPr>
            <w:rStyle w:val="Hyperlink"/>
            <w:noProof/>
            <w:lang w:eastAsia="en-US" w:bidi="ar-SA"/>
          </w:rPr>
          <w:t>Exchange Online Protection</w:t>
        </w:r>
        <w:r w:rsidR="00F439B9">
          <w:rPr>
            <w:noProof/>
            <w:webHidden/>
          </w:rPr>
          <w:tab/>
        </w:r>
        <w:r w:rsidR="00F439B9">
          <w:rPr>
            <w:noProof/>
            <w:webHidden/>
          </w:rPr>
          <w:fldChar w:fldCharType="begin"/>
        </w:r>
        <w:r w:rsidR="00F439B9">
          <w:rPr>
            <w:noProof/>
            <w:webHidden/>
          </w:rPr>
          <w:instrText xml:space="preserve"> PAGEREF _Toc416782640 \h </w:instrText>
        </w:r>
        <w:r w:rsidR="00F439B9">
          <w:rPr>
            <w:noProof/>
            <w:webHidden/>
          </w:rPr>
        </w:r>
        <w:r w:rsidR="00F439B9">
          <w:rPr>
            <w:noProof/>
            <w:webHidden/>
          </w:rPr>
          <w:fldChar w:fldCharType="separate"/>
        </w:r>
        <w:r w:rsidR="00F439B9">
          <w:rPr>
            <w:noProof/>
            <w:webHidden/>
          </w:rPr>
          <w:t>7</w:t>
        </w:r>
        <w:r w:rsidR="00F439B9">
          <w:rPr>
            <w:noProof/>
            <w:webHidden/>
          </w:rPr>
          <w:fldChar w:fldCharType="end"/>
        </w:r>
      </w:hyperlink>
    </w:p>
    <w:p w14:paraId="0ECADD48"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1" w:history="1">
        <w:r w:rsidR="00F439B9" w:rsidRPr="00C1193B">
          <w:rPr>
            <w:rStyle w:val="Hyperlink"/>
            <w:noProof/>
            <w:lang w:eastAsia="en-US" w:bidi="ar-SA"/>
          </w:rPr>
          <w:t>Office 365 Business</w:t>
        </w:r>
        <w:r w:rsidR="00F439B9">
          <w:rPr>
            <w:noProof/>
            <w:webHidden/>
          </w:rPr>
          <w:tab/>
        </w:r>
        <w:r w:rsidR="00F439B9">
          <w:rPr>
            <w:noProof/>
            <w:webHidden/>
          </w:rPr>
          <w:fldChar w:fldCharType="begin"/>
        </w:r>
        <w:r w:rsidR="00F439B9">
          <w:rPr>
            <w:noProof/>
            <w:webHidden/>
          </w:rPr>
          <w:instrText xml:space="preserve"> PAGEREF _Toc416782641 \h </w:instrText>
        </w:r>
        <w:r w:rsidR="00F439B9">
          <w:rPr>
            <w:noProof/>
            <w:webHidden/>
          </w:rPr>
        </w:r>
        <w:r w:rsidR="00F439B9">
          <w:rPr>
            <w:noProof/>
            <w:webHidden/>
          </w:rPr>
          <w:fldChar w:fldCharType="separate"/>
        </w:r>
        <w:r w:rsidR="00F439B9">
          <w:rPr>
            <w:noProof/>
            <w:webHidden/>
          </w:rPr>
          <w:t>8</w:t>
        </w:r>
        <w:r w:rsidR="00F439B9">
          <w:rPr>
            <w:noProof/>
            <w:webHidden/>
          </w:rPr>
          <w:fldChar w:fldCharType="end"/>
        </w:r>
      </w:hyperlink>
    </w:p>
    <w:p w14:paraId="1797D446"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2" w:history="1">
        <w:r w:rsidR="00F439B9" w:rsidRPr="00C1193B">
          <w:rPr>
            <w:rStyle w:val="Hyperlink"/>
            <w:noProof/>
            <w:lang w:val="en-US" w:eastAsia="en-US" w:bidi="ar-SA"/>
          </w:rPr>
          <w:t>Office 365 ProPlus</w:t>
        </w:r>
        <w:r w:rsidR="00F439B9">
          <w:rPr>
            <w:noProof/>
            <w:webHidden/>
          </w:rPr>
          <w:tab/>
        </w:r>
        <w:r w:rsidR="00F439B9">
          <w:rPr>
            <w:noProof/>
            <w:webHidden/>
          </w:rPr>
          <w:fldChar w:fldCharType="begin"/>
        </w:r>
        <w:r w:rsidR="00F439B9">
          <w:rPr>
            <w:noProof/>
            <w:webHidden/>
          </w:rPr>
          <w:instrText xml:space="preserve"> PAGEREF _Toc416782642 \h </w:instrText>
        </w:r>
        <w:r w:rsidR="00F439B9">
          <w:rPr>
            <w:noProof/>
            <w:webHidden/>
          </w:rPr>
        </w:r>
        <w:r w:rsidR="00F439B9">
          <w:rPr>
            <w:noProof/>
            <w:webHidden/>
          </w:rPr>
          <w:fldChar w:fldCharType="separate"/>
        </w:r>
        <w:r w:rsidR="00F439B9">
          <w:rPr>
            <w:noProof/>
            <w:webHidden/>
          </w:rPr>
          <w:t>8</w:t>
        </w:r>
        <w:r w:rsidR="00F439B9">
          <w:rPr>
            <w:noProof/>
            <w:webHidden/>
          </w:rPr>
          <w:fldChar w:fldCharType="end"/>
        </w:r>
      </w:hyperlink>
    </w:p>
    <w:p w14:paraId="36B72EF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3" w:history="1">
        <w:r w:rsidR="00F439B9" w:rsidRPr="00C1193B">
          <w:rPr>
            <w:rStyle w:val="Hyperlink"/>
            <w:noProof/>
            <w:lang w:val="en-US" w:eastAsia="en-US" w:bidi="ar-SA"/>
          </w:rPr>
          <w:t>Office Online</w:t>
        </w:r>
        <w:r w:rsidR="00F439B9">
          <w:rPr>
            <w:noProof/>
            <w:webHidden/>
          </w:rPr>
          <w:tab/>
        </w:r>
        <w:r w:rsidR="00F439B9">
          <w:rPr>
            <w:noProof/>
            <w:webHidden/>
          </w:rPr>
          <w:fldChar w:fldCharType="begin"/>
        </w:r>
        <w:r w:rsidR="00F439B9">
          <w:rPr>
            <w:noProof/>
            <w:webHidden/>
          </w:rPr>
          <w:instrText xml:space="preserve"> PAGEREF _Toc416782643 \h </w:instrText>
        </w:r>
        <w:r w:rsidR="00F439B9">
          <w:rPr>
            <w:noProof/>
            <w:webHidden/>
          </w:rPr>
        </w:r>
        <w:r w:rsidR="00F439B9">
          <w:rPr>
            <w:noProof/>
            <w:webHidden/>
          </w:rPr>
          <w:fldChar w:fldCharType="separate"/>
        </w:r>
        <w:r w:rsidR="00F439B9">
          <w:rPr>
            <w:noProof/>
            <w:webHidden/>
          </w:rPr>
          <w:t>8</w:t>
        </w:r>
        <w:r w:rsidR="00F439B9">
          <w:rPr>
            <w:noProof/>
            <w:webHidden/>
          </w:rPr>
          <w:fldChar w:fldCharType="end"/>
        </w:r>
      </w:hyperlink>
    </w:p>
    <w:p w14:paraId="2C92642C"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4" w:history="1">
        <w:r w:rsidR="00F439B9" w:rsidRPr="00C1193B">
          <w:rPr>
            <w:rStyle w:val="Hyperlink"/>
            <w:noProof/>
            <w:lang w:val="en-US" w:eastAsia="en-US" w:bidi="ar-SA"/>
          </w:rPr>
          <w:t>Office 365 Video</w:t>
        </w:r>
        <w:r w:rsidR="00F439B9">
          <w:rPr>
            <w:noProof/>
            <w:webHidden/>
          </w:rPr>
          <w:tab/>
        </w:r>
        <w:r w:rsidR="00F439B9">
          <w:rPr>
            <w:noProof/>
            <w:webHidden/>
          </w:rPr>
          <w:fldChar w:fldCharType="begin"/>
        </w:r>
        <w:r w:rsidR="00F439B9">
          <w:rPr>
            <w:noProof/>
            <w:webHidden/>
          </w:rPr>
          <w:instrText xml:space="preserve"> PAGEREF _Toc416782644 \h </w:instrText>
        </w:r>
        <w:r w:rsidR="00F439B9">
          <w:rPr>
            <w:noProof/>
            <w:webHidden/>
          </w:rPr>
        </w:r>
        <w:r w:rsidR="00F439B9">
          <w:rPr>
            <w:noProof/>
            <w:webHidden/>
          </w:rPr>
          <w:fldChar w:fldCharType="separate"/>
        </w:r>
        <w:r w:rsidR="00F439B9">
          <w:rPr>
            <w:noProof/>
            <w:webHidden/>
          </w:rPr>
          <w:t>9</w:t>
        </w:r>
        <w:r w:rsidR="00F439B9">
          <w:rPr>
            <w:noProof/>
            <w:webHidden/>
          </w:rPr>
          <w:fldChar w:fldCharType="end"/>
        </w:r>
      </w:hyperlink>
    </w:p>
    <w:p w14:paraId="0719B1AC"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5" w:history="1">
        <w:r w:rsidR="00F439B9" w:rsidRPr="00C1193B">
          <w:rPr>
            <w:rStyle w:val="Hyperlink"/>
            <w:noProof/>
            <w:lang w:val="en-US" w:eastAsia="en-US" w:bidi="ar-SA"/>
          </w:rPr>
          <w:t>OneDrive Entreprise</w:t>
        </w:r>
        <w:r w:rsidR="00F439B9">
          <w:rPr>
            <w:noProof/>
            <w:webHidden/>
          </w:rPr>
          <w:tab/>
        </w:r>
        <w:r w:rsidR="00F439B9">
          <w:rPr>
            <w:noProof/>
            <w:webHidden/>
          </w:rPr>
          <w:fldChar w:fldCharType="begin"/>
        </w:r>
        <w:r w:rsidR="00F439B9">
          <w:rPr>
            <w:noProof/>
            <w:webHidden/>
          </w:rPr>
          <w:instrText xml:space="preserve"> PAGEREF _Toc416782645 \h </w:instrText>
        </w:r>
        <w:r w:rsidR="00F439B9">
          <w:rPr>
            <w:noProof/>
            <w:webHidden/>
          </w:rPr>
        </w:r>
        <w:r w:rsidR="00F439B9">
          <w:rPr>
            <w:noProof/>
            <w:webHidden/>
          </w:rPr>
          <w:fldChar w:fldCharType="separate"/>
        </w:r>
        <w:r w:rsidR="00F439B9">
          <w:rPr>
            <w:noProof/>
            <w:webHidden/>
          </w:rPr>
          <w:t>9</w:t>
        </w:r>
        <w:r w:rsidR="00F439B9">
          <w:rPr>
            <w:noProof/>
            <w:webHidden/>
          </w:rPr>
          <w:fldChar w:fldCharType="end"/>
        </w:r>
      </w:hyperlink>
    </w:p>
    <w:p w14:paraId="7FC1C41C"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6" w:history="1">
        <w:r w:rsidR="00F439B9" w:rsidRPr="00C1193B">
          <w:rPr>
            <w:rStyle w:val="Hyperlink"/>
            <w:noProof/>
            <w:lang w:eastAsia="en-US" w:bidi="ar-SA"/>
          </w:rPr>
          <w:t>Project Online</w:t>
        </w:r>
        <w:r w:rsidR="00F439B9">
          <w:rPr>
            <w:noProof/>
            <w:webHidden/>
          </w:rPr>
          <w:tab/>
        </w:r>
        <w:r w:rsidR="00F439B9">
          <w:rPr>
            <w:noProof/>
            <w:webHidden/>
          </w:rPr>
          <w:fldChar w:fldCharType="begin"/>
        </w:r>
        <w:r w:rsidR="00F439B9">
          <w:rPr>
            <w:noProof/>
            <w:webHidden/>
          </w:rPr>
          <w:instrText xml:space="preserve"> PAGEREF _Toc416782646 \h </w:instrText>
        </w:r>
        <w:r w:rsidR="00F439B9">
          <w:rPr>
            <w:noProof/>
            <w:webHidden/>
          </w:rPr>
        </w:r>
        <w:r w:rsidR="00F439B9">
          <w:rPr>
            <w:noProof/>
            <w:webHidden/>
          </w:rPr>
          <w:fldChar w:fldCharType="separate"/>
        </w:r>
        <w:r w:rsidR="00F439B9">
          <w:rPr>
            <w:noProof/>
            <w:webHidden/>
          </w:rPr>
          <w:t>10</w:t>
        </w:r>
        <w:r w:rsidR="00F439B9">
          <w:rPr>
            <w:noProof/>
            <w:webHidden/>
          </w:rPr>
          <w:fldChar w:fldCharType="end"/>
        </w:r>
      </w:hyperlink>
    </w:p>
    <w:p w14:paraId="478D61F4"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7" w:history="1">
        <w:r w:rsidR="00F439B9" w:rsidRPr="00C1193B">
          <w:rPr>
            <w:rStyle w:val="Hyperlink"/>
            <w:noProof/>
            <w:lang w:val="en-US" w:eastAsia="en-US" w:bidi="ar-SA"/>
          </w:rPr>
          <w:t>SharePoint Online</w:t>
        </w:r>
        <w:r w:rsidR="00F439B9">
          <w:rPr>
            <w:noProof/>
            <w:webHidden/>
          </w:rPr>
          <w:tab/>
        </w:r>
        <w:r w:rsidR="00F439B9">
          <w:rPr>
            <w:noProof/>
            <w:webHidden/>
          </w:rPr>
          <w:fldChar w:fldCharType="begin"/>
        </w:r>
        <w:r w:rsidR="00F439B9">
          <w:rPr>
            <w:noProof/>
            <w:webHidden/>
          </w:rPr>
          <w:instrText xml:space="preserve"> PAGEREF _Toc416782647 \h </w:instrText>
        </w:r>
        <w:r w:rsidR="00F439B9">
          <w:rPr>
            <w:noProof/>
            <w:webHidden/>
          </w:rPr>
        </w:r>
        <w:r w:rsidR="00F439B9">
          <w:rPr>
            <w:noProof/>
            <w:webHidden/>
          </w:rPr>
          <w:fldChar w:fldCharType="separate"/>
        </w:r>
        <w:r w:rsidR="00F439B9">
          <w:rPr>
            <w:noProof/>
            <w:webHidden/>
          </w:rPr>
          <w:t>10</w:t>
        </w:r>
        <w:r w:rsidR="00F439B9">
          <w:rPr>
            <w:noProof/>
            <w:webHidden/>
          </w:rPr>
          <w:fldChar w:fldCharType="end"/>
        </w:r>
      </w:hyperlink>
    </w:p>
    <w:p w14:paraId="15F3AA2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8" w:history="1">
        <w:r w:rsidR="00F439B9" w:rsidRPr="00C1193B">
          <w:rPr>
            <w:rStyle w:val="Hyperlink"/>
            <w:noProof/>
            <w:lang w:eastAsia="en-US" w:bidi="ar-SA"/>
          </w:rPr>
          <w:t>Skype Entreprise Online</w:t>
        </w:r>
        <w:r w:rsidR="00F439B9">
          <w:rPr>
            <w:noProof/>
            <w:webHidden/>
          </w:rPr>
          <w:tab/>
        </w:r>
        <w:r w:rsidR="00F439B9">
          <w:rPr>
            <w:noProof/>
            <w:webHidden/>
          </w:rPr>
          <w:fldChar w:fldCharType="begin"/>
        </w:r>
        <w:r w:rsidR="00F439B9">
          <w:rPr>
            <w:noProof/>
            <w:webHidden/>
          </w:rPr>
          <w:instrText xml:space="preserve"> PAGEREF _Toc416782648 \h </w:instrText>
        </w:r>
        <w:r w:rsidR="00F439B9">
          <w:rPr>
            <w:noProof/>
            <w:webHidden/>
          </w:rPr>
        </w:r>
        <w:r w:rsidR="00F439B9">
          <w:rPr>
            <w:noProof/>
            <w:webHidden/>
          </w:rPr>
          <w:fldChar w:fldCharType="separate"/>
        </w:r>
        <w:r w:rsidR="00F439B9">
          <w:rPr>
            <w:noProof/>
            <w:webHidden/>
          </w:rPr>
          <w:t>10</w:t>
        </w:r>
        <w:r w:rsidR="00F439B9">
          <w:rPr>
            <w:noProof/>
            <w:webHidden/>
          </w:rPr>
          <w:fldChar w:fldCharType="end"/>
        </w:r>
      </w:hyperlink>
    </w:p>
    <w:p w14:paraId="3FD466B3"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49" w:history="1">
        <w:r w:rsidR="00F439B9" w:rsidRPr="00C1193B">
          <w:rPr>
            <w:rStyle w:val="Hyperlink"/>
            <w:noProof/>
            <w:lang w:eastAsia="en-US" w:bidi="ar-SA"/>
          </w:rPr>
          <w:t>Yammer Enterprise</w:t>
        </w:r>
        <w:r w:rsidR="00F439B9">
          <w:rPr>
            <w:noProof/>
            <w:webHidden/>
          </w:rPr>
          <w:tab/>
        </w:r>
        <w:r w:rsidR="00F439B9">
          <w:rPr>
            <w:noProof/>
            <w:webHidden/>
          </w:rPr>
          <w:fldChar w:fldCharType="begin"/>
        </w:r>
        <w:r w:rsidR="00F439B9">
          <w:rPr>
            <w:noProof/>
            <w:webHidden/>
          </w:rPr>
          <w:instrText xml:space="preserve"> PAGEREF _Toc416782649 \h </w:instrText>
        </w:r>
        <w:r w:rsidR="00F439B9">
          <w:rPr>
            <w:noProof/>
            <w:webHidden/>
          </w:rPr>
        </w:r>
        <w:r w:rsidR="00F439B9">
          <w:rPr>
            <w:noProof/>
            <w:webHidden/>
          </w:rPr>
          <w:fldChar w:fldCharType="separate"/>
        </w:r>
        <w:r w:rsidR="00F439B9">
          <w:rPr>
            <w:noProof/>
            <w:webHidden/>
          </w:rPr>
          <w:t>11</w:t>
        </w:r>
        <w:r w:rsidR="00F439B9">
          <w:rPr>
            <w:noProof/>
            <w:webHidden/>
          </w:rPr>
          <w:fldChar w:fldCharType="end"/>
        </w:r>
      </w:hyperlink>
    </w:p>
    <w:p w14:paraId="5274BF83"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50" w:history="1">
        <w:r w:rsidR="00F439B9" w:rsidRPr="00C1193B">
          <w:rPr>
            <w:rStyle w:val="Hyperlink"/>
            <w:noProof/>
            <w:lang w:val="en-US" w:eastAsia="en-US" w:bidi="ar-SA"/>
          </w:rPr>
          <w:t>Enterprise Mobility Services</w:t>
        </w:r>
        <w:r w:rsidR="00F439B9">
          <w:rPr>
            <w:noProof/>
            <w:webHidden/>
          </w:rPr>
          <w:tab/>
        </w:r>
        <w:r w:rsidR="00F439B9">
          <w:rPr>
            <w:noProof/>
            <w:webHidden/>
          </w:rPr>
          <w:fldChar w:fldCharType="begin"/>
        </w:r>
        <w:r w:rsidR="00F439B9">
          <w:rPr>
            <w:noProof/>
            <w:webHidden/>
          </w:rPr>
          <w:instrText xml:space="preserve"> PAGEREF _Toc416782650 \h </w:instrText>
        </w:r>
        <w:r w:rsidR="00F439B9">
          <w:rPr>
            <w:noProof/>
            <w:webHidden/>
          </w:rPr>
        </w:r>
        <w:r w:rsidR="00F439B9">
          <w:rPr>
            <w:noProof/>
            <w:webHidden/>
          </w:rPr>
          <w:fldChar w:fldCharType="separate"/>
        </w:r>
        <w:r w:rsidR="00F439B9">
          <w:rPr>
            <w:noProof/>
            <w:webHidden/>
          </w:rPr>
          <w:t>11</w:t>
        </w:r>
        <w:r w:rsidR="00F439B9">
          <w:rPr>
            <w:noProof/>
            <w:webHidden/>
          </w:rPr>
          <w:fldChar w:fldCharType="end"/>
        </w:r>
      </w:hyperlink>
    </w:p>
    <w:p w14:paraId="63E3E04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1" w:history="1">
        <w:r w:rsidR="00F439B9" w:rsidRPr="00C1193B">
          <w:rPr>
            <w:rStyle w:val="Hyperlink"/>
            <w:noProof/>
            <w:lang w:val="en-US" w:eastAsia="en-US" w:bidi="ar-SA"/>
          </w:rPr>
          <w:t>Azure Active Directory Basic</w:t>
        </w:r>
        <w:r w:rsidR="00F439B9">
          <w:rPr>
            <w:noProof/>
            <w:webHidden/>
          </w:rPr>
          <w:tab/>
        </w:r>
        <w:r w:rsidR="00F439B9">
          <w:rPr>
            <w:noProof/>
            <w:webHidden/>
          </w:rPr>
          <w:fldChar w:fldCharType="begin"/>
        </w:r>
        <w:r w:rsidR="00F439B9">
          <w:rPr>
            <w:noProof/>
            <w:webHidden/>
          </w:rPr>
          <w:instrText xml:space="preserve"> PAGEREF _Toc416782651 \h </w:instrText>
        </w:r>
        <w:r w:rsidR="00F439B9">
          <w:rPr>
            <w:noProof/>
            <w:webHidden/>
          </w:rPr>
        </w:r>
        <w:r w:rsidR="00F439B9">
          <w:rPr>
            <w:noProof/>
            <w:webHidden/>
          </w:rPr>
          <w:fldChar w:fldCharType="separate"/>
        </w:r>
        <w:r w:rsidR="00F439B9">
          <w:rPr>
            <w:noProof/>
            <w:webHidden/>
          </w:rPr>
          <w:t>11</w:t>
        </w:r>
        <w:r w:rsidR="00F439B9">
          <w:rPr>
            <w:noProof/>
            <w:webHidden/>
          </w:rPr>
          <w:fldChar w:fldCharType="end"/>
        </w:r>
      </w:hyperlink>
    </w:p>
    <w:p w14:paraId="3820D067"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2" w:history="1">
        <w:r w:rsidR="00F439B9" w:rsidRPr="00C1193B">
          <w:rPr>
            <w:rStyle w:val="Hyperlink"/>
            <w:noProof/>
            <w:lang w:val="en-US" w:eastAsia="en-US" w:bidi="ar-SA"/>
          </w:rPr>
          <w:t>Azure Active Directory Premium</w:t>
        </w:r>
        <w:r w:rsidR="00F439B9">
          <w:rPr>
            <w:noProof/>
            <w:webHidden/>
          </w:rPr>
          <w:tab/>
        </w:r>
        <w:r w:rsidR="00F439B9">
          <w:rPr>
            <w:noProof/>
            <w:webHidden/>
          </w:rPr>
          <w:fldChar w:fldCharType="begin"/>
        </w:r>
        <w:r w:rsidR="00F439B9">
          <w:rPr>
            <w:noProof/>
            <w:webHidden/>
          </w:rPr>
          <w:instrText xml:space="preserve"> PAGEREF _Toc416782652 \h </w:instrText>
        </w:r>
        <w:r w:rsidR="00F439B9">
          <w:rPr>
            <w:noProof/>
            <w:webHidden/>
          </w:rPr>
        </w:r>
        <w:r w:rsidR="00F439B9">
          <w:rPr>
            <w:noProof/>
            <w:webHidden/>
          </w:rPr>
          <w:fldChar w:fldCharType="separate"/>
        </w:r>
        <w:r w:rsidR="00F439B9">
          <w:rPr>
            <w:noProof/>
            <w:webHidden/>
          </w:rPr>
          <w:t>11</w:t>
        </w:r>
        <w:r w:rsidR="00F439B9">
          <w:rPr>
            <w:noProof/>
            <w:webHidden/>
          </w:rPr>
          <w:fldChar w:fldCharType="end"/>
        </w:r>
      </w:hyperlink>
    </w:p>
    <w:p w14:paraId="5DE7BE82"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3" w:history="1">
        <w:r w:rsidR="00F439B9" w:rsidRPr="00C1193B">
          <w:rPr>
            <w:rStyle w:val="Hyperlink"/>
            <w:noProof/>
            <w:lang w:val="en-US" w:eastAsia="en-US" w:bidi="ar-SA"/>
          </w:rPr>
          <w:t>Azure Rights Management</w:t>
        </w:r>
        <w:r w:rsidR="00F439B9">
          <w:rPr>
            <w:noProof/>
            <w:webHidden/>
          </w:rPr>
          <w:tab/>
        </w:r>
        <w:r w:rsidR="00F439B9">
          <w:rPr>
            <w:noProof/>
            <w:webHidden/>
          </w:rPr>
          <w:fldChar w:fldCharType="begin"/>
        </w:r>
        <w:r w:rsidR="00F439B9">
          <w:rPr>
            <w:noProof/>
            <w:webHidden/>
          </w:rPr>
          <w:instrText xml:space="preserve"> PAGEREF _Toc416782653 \h </w:instrText>
        </w:r>
        <w:r w:rsidR="00F439B9">
          <w:rPr>
            <w:noProof/>
            <w:webHidden/>
          </w:rPr>
        </w:r>
        <w:r w:rsidR="00F439B9">
          <w:rPr>
            <w:noProof/>
            <w:webHidden/>
          </w:rPr>
          <w:fldChar w:fldCharType="separate"/>
        </w:r>
        <w:r w:rsidR="00F439B9">
          <w:rPr>
            <w:noProof/>
            <w:webHidden/>
          </w:rPr>
          <w:t>12</w:t>
        </w:r>
        <w:r w:rsidR="00F439B9">
          <w:rPr>
            <w:noProof/>
            <w:webHidden/>
          </w:rPr>
          <w:fldChar w:fldCharType="end"/>
        </w:r>
      </w:hyperlink>
    </w:p>
    <w:p w14:paraId="1E8458D2"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4" w:history="1">
        <w:r w:rsidR="00F439B9" w:rsidRPr="00C1193B">
          <w:rPr>
            <w:rStyle w:val="Hyperlink"/>
            <w:noProof/>
            <w:lang w:val="en-US" w:eastAsia="en-US" w:bidi="ar-SA"/>
          </w:rPr>
          <w:t>Microsoft Intune</w:t>
        </w:r>
        <w:r w:rsidR="00F439B9">
          <w:rPr>
            <w:noProof/>
            <w:webHidden/>
          </w:rPr>
          <w:tab/>
        </w:r>
        <w:r w:rsidR="00F439B9">
          <w:rPr>
            <w:noProof/>
            <w:webHidden/>
          </w:rPr>
          <w:fldChar w:fldCharType="begin"/>
        </w:r>
        <w:r w:rsidR="00F439B9">
          <w:rPr>
            <w:noProof/>
            <w:webHidden/>
          </w:rPr>
          <w:instrText xml:space="preserve"> PAGEREF _Toc416782654 \h </w:instrText>
        </w:r>
        <w:r w:rsidR="00F439B9">
          <w:rPr>
            <w:noProof/>
            <w:webHidden/>
          </w:rPr>
        </w:r>
        <w:r w:rsidR="00F439B9">
          <w:rPr>
            <w:noProof/>
            <w:webHidden/>
          </w:rPr>
          <w:fldChar w:fldCharType="separate"/>
        </w:r>
        <w:r w:rsidR="00F439B9">
          <w:rPr>
            <w:noProof/>
            <w:webHidden/>
          </w:rPr>
          <w:t>12</w:t>
        </w:r>
        <w:r w:rsidR="00F439B9">
          <w:rPr>
            <w:noProof/>
            <w:webHidden/>
          </w:rPr>
          <w:fldChar w:fldCharType="end"/>
        </w:r>
      </w:hyperlink>
    </w:p>
    <w:p w14:paraId="565030BA"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55" w:history="1">
        <w:r w:rsidR="00F439B9" w:rsidRPr="00C1193B">
          <w:rPr>
            <w:rStyle w:val="Hyperlink"/>
            <w:noProof/>
            <w:lang w:eastAsia="en-US" w:bidi="ar-SA"/>
          </w:rPr>
          <w:t>Services Microsoft Azure</w:t>
        </w:r>
        <w:r w:rsidR="00F439B9">
          <w:rPr>
            <w:noProof/>
            <w:webHidden/>
          </w:rPr>
          <w:tab/>
        </w:r>
        <w:r w:rsidR="00F439B9">
          <w:rPr>
            <w:noProof/>
            <w:webHidden/>
          </w:rPr>
          <w:fldChar w:fldCharType="begin"/>
        </w:r>
        <w:r w:rsidR="00F439B9">
          <w:rPr>
            <w:noProof/>
            <w:webHidden/>
          </w:rPr>
          <w:instrText xml:space="preserve"> PAGEREF _Toc416782655 \h </w:instrText>
        </w:r>
        <w:r w:rsidR="00F439B9">
          <w:rPr>
            <w:noProof/>
            <w:webHidden/>
          </w:rPr>
        </w:r>
        <w:r w:rsidR="00F439B9">
          <w:rPr>
            <w:noProof/>
            <w:webHidden/>
          </w:rPr>
          <w:fldChar w:fldCharType="separate"/>
        </w:r>
        <w:r w:rsidR="00F439B9">
          <w:rPr>
            <w:noProof/>
            <w:webHidden/>
          </w:rPr>
          <w:t>13</w:t>
        </w:r>
        <w:r w:rsidR="00F439B9">
          <w:rPr>
            <w:noProof/>
            <w:webHidden/>
          </w:rPr>
          <w:fldChar w:fldCharType="end"/>
        </w:r>
      </w:hyperlink>
    </w:p>
    <w:p w14:paraId="5D6A3180"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6" w:history="1">
        <w:r w:rsidR="00F439B9" w:rsidRPr="00C1193B">
          <w:rPr>
            <w:rStyle w:val="Hyperlink"/>
            <w:noProof/>
            <w:lang w:eastAsia="en-US" w:bidi="ar-SA"/>
          </w:rPr>
          <w:t>Services de Gestion des API</w:t>
        </w:r>
        <w:r w:rsidR="00F439B9">
          <w:rPr>
            <w:noProof/>
            <w:webHidden/>
          </w:rPr>
          <w:tab/>
        </w:r>
        <w:r w:rsidR="00F439B9">
          <w:rPr>
            <w:noProof/>
            <w:webHidden/>
          </w:rPr>
          <w:fldChar w:fldCharType="begin"/>
        </w:r>
        <w:r w:rsidR="00F439B9">
          <w:rPr>
            <w:noProof/>
            <w:webHidden/>
          </w:rPr>
          <w:instrText xml:space="preserve"> PAGEREF _Toc416782656 \h </w:instrText>
        </w:r>
        <w:r w:rsidR="00F439B9">
          <w:rPr>
            <w:noProof/>
            <w:webHidden/>
          </w:rPr>
        </w:r>
        <w:r w:rsidR="00F439B9">
          <w:rPr>
            <w:noProof/>
            <w:webHidden/>
          </w:rPr>
          <w:fldChar w:fldCharType="separate"/>
        </w:r>
        <w:r w:rsidR="00F439B9">
          <w:rPr>
            <w:noProof/>
            <w:webHidden/>
          </w:rPr>
          <w:t>13</w:t>
        </w:r>
        <w:r w:rsidR="00F439B9">
          <w:rPr>
            <w:noProof/>
            <w:webHidden/>
          </w:rPr>
          <w:fldChar w:fldCharType="end"/>
        </w:r>
      </w:hyperlink>
    </w:p>
    <w:p w14:paraId="4DF9E4D9"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7" w:history="1">
        <w:r w:rsidR="00F439B9" w:rsidRPr="00C1193B">
          <w:rPr>
            <w:rStyle w:val="Hyperlink"/>
            <w:noProof/>
            <w:lang w:val="en-US" w:eastAsia="en-US" w:bidi="ar-SA"/>
          </w:rPr>
          <w:t>Service Automation</w:t>
        </w:r>
        <w:r w:rsidR="00F439B9">
          <w:rPr>
            <w:noProof/>
            <w:webHidden/>
          </w:rPr>
          <w:tab/>
        </w:r>
        <w:r w:rsidR="00F439B9">
          <w:rPr>
            <w:noProof/>
            <w:webHidden/>
          </w:rPr>
          <w:fldChar w:fldCharType="begin"/>
        </w:r>
        <w:r w:rsidR="00F439B9">
          <w:rPr>
            <w:noProof/>
            <w:webHidden/>
          </w:rPr>
          <w:instrText xml:space="preserve"> PAGEREF _Toc416782657 \h </w:instrText>
        </w:r>
        <w:r w:rsidR="00F439B9">
          <w:rPr>
            <w:noProof/>
            <w:webHidden/>
          </w:rPr>
        </w:r>
        <w:r w:rsidR="00F439B9">
          <w:rPr>
            <w:noProof/>
            <w:webHidden/>
          </w:rPr>
          <w:fldChar w:fldCharType="separate"/>
        </w:r>
        <w:r w:rsidR="00F439B9">
          <w:rPr>
            <w:noProof/>
            <w:webHidden/>
          </w:rPr>
          <w:t>13</w:t>
        </w:r>
        <w:r w:rsidR="00F439B9">
          <w:rPr>
            <w:noProof/>
            <w:webHidden/>
          </w:rPr>
          <w:fldChar w:fldCharType="end"/>
        </w:r>
      </w:hyperlink>
    </w:p>
    <w:p w14:paraId="06CD4183"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8" w:history="1">
        <w:r w:rsidR="00F439B9" w:rsidRPr="00C1193B">
          <w:rPr>
            <w:rStyle w:val="Hyperlink"/>
            <w:noProof/>
            <w:lang w:val="en-US" w:eastAsia="en-US" w:bidi="ar-SA"/>
          </w:rPr>
          <w:t>Service Backup</w:t>
        </w:r>
        <w:r w:rsidR="00F439B9">
          <w:rPr>
            <w:noProof/>
            <w:webHidden/>
          </w:rPr>
          <w:tab/>
        </w:r>
        <w:r w:rsidR="00F439B9">
          <w:rPr>
            <w:noProof/>
            <w:webHidden/>
          </w:rPr>
          <w:fldChar w:fldCharType="begin"/>
        </w:r>
        <w:r w:rsidR="00F439B9">
          <w:rPr>
            <w:noProof/>
            <w:webHidden/>
          </w:rPr>
          <w:instrText xml:space="preserve"> PAGEREF _Toc416782658 \h </w:instrText>
        </w:r>
        <w:r w:rsidR="00F439B9">
          <w:rPr>
            <w:noProof/>
            <w:webHidden/>
          </w:rPr>
        </w:r>
        <w:r w:rsidR="00F439B9">
          <w:rPr>
            <w:noProof/>
            <w:webHidden/>
          </w:rPr>
          <w:fldChar w:fldCharType="separate"/>
        </w:r>
        <w:r w:rsidR="00F439B9">
          <w:rPr>
            <w:noProof/>
            <w:webHidden/>
          </w:rPr>
          <w:t>14</w:t>
        </w:r>
        <w:r w:rsidR="00F439B9">
          <w:rPr>
            <w:noProof/>
            <w:webHidden/>
          </w:rPr>
          <w:fldChar w:fldCharType="end"/>
        </w:r>
      </w:hyperlink>
    </w:p>
    <w:p w14:paraId="0B56E88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59" w:history="1">
        <w:r w:rsidR="00F439B9" w:rsidRPr="00C1193B">
          <w:rPr>
            <w:rStyle w:val="Hyperlink"/>
            <w:noProof/>
            <w:lang w:val="en-US" w:eastAsia="en-US" w:bidi="ar-SA"/>
          </w:rPr>
          <w:t>Services BizTalk</w:t>
        </w:r>
        <w:r w:rsidR="00F439B9">
          <w:rPr>
            <w:noProof/>
            <w:webHidden/>
          </w:rPr>
          <w:tab/>
        </w:r>
        <w:r w:rsidR="00F439B9">
          <w:rPr>
            <w:noProof/>
            <w:webHidden/>
          </w:rPr>
          <w:fldChar w:fldCharType="begin"/>
        </w:r>
        <w:r w:rsidR="00F439B9">
          <w:rPr>
            <w:noProof/>
            <w:webHidden/>
          </w:rPr>
          <w:instrText xml:space="preserve"> PAGEREF _Toc416782659 \h </w:instrText>
        </w:r>
        <w:r w:rsidR="00F439B9">
          <w:rPr>
            <w:noProof/>
            <w:webHidden/>
          </w:rPr>
        </w:r>
        <w:r w:rsidR="00F439B9">
          <w:rPr>
            <w:noProof/>
            <w:webHidden/>
          </w:rPr>
          <w:fldChar w:fldCharType="separate"/>
        </w:r>
        <w:r w:rsidR="00F439B9">
          <w:rPr>
            <w:noProof/>
            <w:webHidden/>
          </w:rPr>
          <w:t>14</w:t>
        </w:r>
        <w:r w:rsidR="00F439B9">
          <w:rPr>
            <w:noProof/>
            <w:webHidden/>
          </w:rPr>
          <w:fldChar w:fldCharType="end"/>
        </w:r>
      </w:hyperlink>
    </w:p>
    <w:p w14:paraId="20243846"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0" w:history="1">
        <w:r w:rsidR="00F439B9" w:rsidRPr="00C1193B">
          <w:rPr>
            <w:rStyle w:val="Hyperlink"/>
            <w:noProof/>
            <w:lang w:eastAsia="en-US" w:bidi="ar-SA"/>
          </w:rPr>
          <w:t>Services de Cache</w:t>
        </w:r>
        <w:r w:rsidR="00F439B9">
          <w:rPr>
            <w:noProof/>
            <w:webHidden/>
          </w:rPr>
          <w:tab/>
        </w:r>
        <w:r w:rsidR="00F439B9">
          <w:rPr>
            <w:noProof/>
            <w:webHidden/>
          </w:rPr>
          <w:fldChar w:fldCharType="begin"/>
        </w:r>
        <w:r w:rsidR="00F439B9">
          <w:rPr>
            <w:noProof/>
            <w:webHidden/>
          </w:rPr>
          <w:instrText xml:space="preserve"> PAGEREF _Toc416782660 \h </w:instrText>
        </w:r>
        <w:r w:rsidR="00F439B9">
          <w:rPr>
            <w:noProof/>
            <w:webHidden/>
          </w:rPr>
        </w:r>
        <w:r w:rsidR="00F439B9">
          <w:rPr>
            <w:noProof/>
            <w:webHidden/>
          </w:rPr>
          <w:fldChar w:fldCharType="separate"/>
        </w:r>
        <w:r w:rsidR="00F439B9">
          <w:rPr>
            <w:noProof/>
            <w:webHidden/>
          </w:rPr>
          <w:t>15</w:t>
        </w:r>
        <w:r w:rsidR="00F439B9">
          <w:rPr>
            <w:noProof/>
            <w:webHidden/>
          </w:rPr>
          <w:fldChar w:fldCharType="end"/>
        </w:r>
      </w:hyperlink>
    </w:p>
    <w:p w14:paraId="288FA11C"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1" w:history="1">
        <w:r w:rsidR="00F439B9" w:rsidRPr="00C1193B">
          <w:rPr>
            <w:rStyle w:val="Hyperlink"/>
            <w:noProof/>
            <w:lang w:eastAsia="en-US" w:bidi="ar-SA"/>
          </w:rPr>
          <w:t>Service CDN</w:t>
        </w:r>
        <w:r w:rsidR="00F439B9">
          <w:rPr>
            <w:noProof/>
            <w:webHidden/>
          </w:rPr>
          <w:tab/>
        </w:r>
        <w:r w:rsidR="00F439B9">
          <w:rPr>
            <w:noProof/>
            <w:webHidden/>
          </w:rPr>
          <w:fldChar w:fldCharType="begin"/>
        </w:r>
        <w:r w:rsidR="00F439B9">
          <w:rPr>
            <w:noProof/>
            <w:webHidden/>
          </w:rPr>
          <w:instrText xml:space="preserve"> PAGEREF _Toc416782661 \h </w:instrText>
        </w:r>
        <w:r w:rsidR="00F439B9">
          <w:rPr>
            <w:noProof/>
            <w:webHidden/>
          </w:rPr>
        </w:r>
        <w:r w:rsidR="00F439B9">
          <w:rPr>
            <w:noProof/>
            <w:webHidden/>
          </w:rPr>
          <w:fldChar w:fldCharType="separate"/>
        </w:r>
        <w:r w:rsidR="00F439B9">
          <w:rPr>
            <w:noProof/>
            <w:webHidden/>
          </w:rPr>
          <w:t>16</w:t>
        </w:r>
        <w:r w:rsidR="00F439B9">
          <w:rPr>
            <w:noProof/>
            <w:webHidden/>
          </w:rPr>
          <w:fldChar w:fldCharType="end"/>
        </w:r>
      </w:hyperlink>
    </w:p>
    <w:p w14:paraId="2924742F"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2" w:history="1">
        <w:r w:rsidR="00F439B9" w:rsidRPr="00C1193B">
          <w:rPr>
            <w:rStyle w:val="Hyperlink"/>
            <w:noProof/>
            <w:lang w:val="en-US" w:eastAsia="en-US" w:bidi="ar-SA"/>
          </w:rPr>
          <w:t>Services de Cloud</w:t>
        </w:r>
        <w:r w:rsidR="00F439B9">
          <w:rPr>
            <w:noProof/>
            <w:webHidden/>
          </w:rPr>
          <w:tab/>
        </w:r>
        <w:r w:rsidR="00F439B9">
          <w:rPr>
            <w:noProof/>
            <w:webHidden/>
          </w:rPr>
          <w:fldChar w:fldCharType="begin"/>
        </w:r>
        <w:r w:rsidR="00F439B9">
          <w:rPr>
            <w:noProof/>
            <w:webHidden/>
          </w:rPr>
          <w:instrText xml:space="preserve"> PAGEREF _Toc416782662 \h </w:instrText>
        </w:r>
        <w:r w:rsidR="00F439B9">
          <w:rPr>
            <w:noProof/>
            <w:webHidden/>
          </w:rPr>
        </w:r>
        <w:r w:rsidR="00F439B9">
          <w:rPr>
            <w:noProof/>
            <w:webHidden/>
          </w:rPr>
          <w:fldChar w:fldCharType="separate"/>
        </w:r>
        <w:r w:rsidR="00F439B9">
          <w:rPr>
            <w:noProof/>
            <w:webHidden/>
          </w:rPr>
          <w:t>16</w:t>
        </w:r>
        <w:r w:rsidR="00F439B9">
          <w:rPr>
            <w:noProof/>
            <w:webHidden/>
          </w:rPr>
          <w:fldChar w:fldCharType="end"/>
        </w:r>
      </w:hyperlink>
    </w:p>
    <w:p w14:paraId="7689EDB6"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3" w:history="1">
        <w:r w:rsidR="00F439B9" w:rsidRPr="00C1193B">
          <w:rPr>
            <w:rStyle w:val="Hyperlink"/>
            <w:noProof/>
            <w:lang w:val="en-US" w:eastAsia="en-US" w:bidi="ar-SA"/>
          </w:rPr>
          <w:t>DocumentDB</w:t>
        </w:r>
        <w:r w:rsidR="00F439B9">
          <w:rPr>
            <w:noProof/>
            <w:webHidden/>
          </w:rPr>
          <w:tab/>
        </w:r>
        <w:r w:rsidR="00F439B9">
          <w:rPr>
            <w:noProof/>
            <w:webHidden/>
          </w:rPr>
          <w:fldChar w:fldCharType="begin"/>
        </w:r>
        <w:r w:rsidR="00F439B9">
          <w:rPr>
            <w:noProof/>
            <w:webHidden/>
          </w:rPr>
          <w:instrText xml:space="preserve"> PAGEREF _Toc416782663 \h </w:instrText>
        </w:r>
        <w:r w:rsidR="00F439B9">
          <w:rPr>
            <w:noProof/>
            <w:webHidden/>
          </w:rPr>
        </w:r>
        <w:r w:rsidR="00F439B9">
          <w:rPr>
            <w:noProof/>
            <w:webHidden/>
          </w:rPr>
          <w:fldChar w:fldCharType="separate"/>
        </w:r>
        <w:r w:rsidR="00F439B9">
          <w:rPr>
            <w:noProof/>
            <w:webHidden/>
          </w:rPr>
          <w:t>17</w:t>
        </w:r>
        <w:r w:rsidR="00F439B9">
          <w:rPr>
            <w:noProof/>
            <w:webHidden/>
          </w:rPr>
          <w:fldChar w:fldCharType="end"/>
        </w:r>
      </w:hyperlink>
    </w:p>
    <w:p w14:paraId="247159A1"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4" w:history="1">
        <w:r w:rsidR="00F439B9" w:rsidRPr="00C1193B">
          <w:rPr>
            <w:rStyle w:val="Hyperlink"/>
            <w:noProof/>
            <w:lang w:val="en-US" w:eastAsia="en-US" w:bidi="ar-SA"/>
          </w:rPr>
          <w:t>ExpressRoute</w:t>
        </w:r>
        <w:r w:rsidR="00F439B9">
          <w:rPr>
            <w:noProof/>
            <w:webHidden/>
          </w:rPr>
          <w:tab/>
        </w:r>
        <w:r w:rsidR="00F439B9">
          <w:rPr>
            <w:noProof/>
            <w:webHidden/>
          </w:rPr>
          <w:fldChar w:fldCharType="begin"/>
        </w:r>
        <w:r w:rsidR="00F439B9">
          <w:rPr>
            <w:noProof/>
            <w:webHidden/>
          </w:rPr>
          <w:instrText xml:space="preserve"> PAGEREF _Toc416782664 \h </w:instrText>
        </w:r>
        <w:r w:rsidR="00F439B9">
          <w:rPr>
            <w:noProof/>
            <w:webHidden/>
          </w:rPr>
        </w:r>
        <w:r w:rsidR="00F439B9">
          <w:rPr>
            <w:noProof/>
            <w:webHidden/>
          </w:rPr>
          <w:fldChar w:fldCharType="separate"/>
        </w:r>
        <w:r w:rsidR="00F439B9">
          <w:rPr>
            <w:noProof/>
            <w:webHidden/>
          </w:rPr>
          <w:t>17</w:t>
        </w:r>
        <w:r w:rsidR="00F439B9">
          <w:rPr>
            <w:noProof/>
            <w:webHidden/>
          </w:rPr>
          <w:fldChar w:fldCharType="end"/>
        </w:r>
      </w:hyperlink>
    </w:p>
    <w:p w14:paraId="2B88285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5" w:history="1">
        <w:r w:rsidR="00F439B9" w:rsidRPr="00C1193B">
          <w:rPr>
            <w:rStyle w:val="Hyperlink"/>
            <w:noProof/>
            <w:lang w:eastAsia="en-US" w:bidi="ar-SA"/>
          </w:rPr>
          <w:t>HDInsight</w:t>
        </w:r>
        <w:r w:rsidR="00F439B9">
          <w:rPr>
            <w:noProof/>
            <w:webHidden/>
          </w:rPr>
          <w:tab/>
        </w:r>
        <w:r w:rsidR="00F439B9">
          <w:rPr>
            <w:noProof/>
            <w:webHidden/>
          </w:rPr>
          <w:fldChar w:fldCharType="begin"/>
        </w:r>
        <w:r w:rsidR="00F439B9">
          <w:rPr>
            <w:noProof/>
            <w:webHidden/>
          </w:rPr>
          <w:instrText xml:space="preserve"> PAGEREF _Toc416782665 \h </w:instrText>
        </w:r>
        <w:r w:rsidR="00F439B9">
          <w:rPr>
            <w:noProof/>
            <w:webHidden/>
          </w:rPr>
        </w:r>
        <w:r w:rsidR="00F439B9">
          <w:rPr>
            <w:noProof/>
            <w:webHidden/>
          </w:rPr>
          <w:fldChar w:fldCharType="separate"/>
        </w:r>
        <w:r w:rsidR="00F439B9">
          <w:rPr>
            <w:noProof/>
            <w:webHidden/>
          </w:rPr>
          <w:t>18</w:t>
        </w:r>
        <w:r w:rsidR="00F439B9">
          <w:rPr>
            <w:noProof/>
            <w:webHidden/>
          </w:rPr>
          <w:fldChar w:fldCharType="end"/>
        </w:r>
      </w:hyperlink>
    </w:p>
    <w:p w14:paraId="21815E70"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6" w:history="1">
        <w:r w:rsidR="00F439B9" w:rsidRPr="00C1193B">
          <w:rPr>
            <w:rStyle w:val="Hyperlink"/>
            <w:noProof/>
            <w:lang w:eastAsia="en-US" w:bidi="ar-SA"/>
          </w:rPr>
          <w:t>Machine Learning – Service d’Exécution de Lot (BES) et Service d’API de Gestion</w:t>
        </w:r>
        <w:r w:rsidR="00F439B9">
          <w:rPr>
            <w:noProof/>
            <w:webHidden/>
          </w:rPr>
          <w:tab/>
        </w:r>
        <w:r w:rsidR="00F439B9">
          <w:rPr>
            <w:noProof/>
            <w:webHidden/>
          </w:rPr>
          <w:fldChar w:fldCharType="begin"/>
        </w:r>
        <w:r w:rsidR="00F439B9">
          <w:rPr>
            <w:noProof/>
            <w:webHidden/>
          </w:rPr>
          <w:instrText xml:space="preserve"> PAGEREF _Toc416782666 \h </w:instrText>
        </w:r>
        <w:r w:rsidR="00F439B9">
          <w:rPr>
            <w:noProof/>
            <w:webHidden/>
          </w:rPr>
        </w:r>
        <w:r w:rsidR="00F439B9">
          <w:rPr>
            <w:noProof/>
            <w:webHidden/>
          </w:rPr>
          <w:fldChar w:fldCharType="separate"/>
        </w:r>
        <w:r w:rsidR="00F439B9">
          <w:rPr>
            <w:noProof/>
            <w:webHidden/>
          </w:rPr>
          <w:t>18</w:t>
        </w:r>
        <w:r w:rsidR="00F439B9">
          <w:rPr>
            <w:noProof/>
            <w:webHidden/>
          </w:rPr>
          <w:fldChar w:fldCharType="end"/>
        </w:r>
      </w:hyperlink>
    </w:p>
    <w:p w14:paraId="7B10C2A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7" w:history="1">
        <w:r w:rsidR="00F439B9" w:rsidRPr="00C1193B">
          <w:rPr>
            <w:rStyle w:val="Hyperlink"/>
            <w:noProof/>
            <w:lang w:eastAsia="en-US" w:bidi="ar-SA"/>
          </w:rPr>
          <w:t>Machine Learning – Service de Requête-Réponse (RRS)</w:t>
        </w:r>
        <w:r w:rsidR="00F439B9">
          <w:rPr>
            <w:noProof/>
            <w:webHidden/>
          </w:rPr>
          <w:tab/>
        </w:r>
        <w:r w:rsidR="00F439B9">
          <w:rPr>
            <w:noProof/>
            <w:webHidden/>
          </w:rPr>
          <w:fldChar w:fldCharType="begin"/>
        </w:r>
        <w:r w:rsidR="00F439B9">
          <w:rPr>
            <w:noProof/>
            <w:webHidden/>
          </w:rPr>
          <w:instrText xml:space="preserve"> PAGEREF _Toc416782667 \h </w:instrText>
        </w:r>
        <w:r w:rsidR="00F439B9">
          <w:rPr>
            <w:noProof/>
            <w:webHidden/>
          </w:rPr>
        </w:r>
        <w:r w:rsidR="00F439B9">
          <w:rPr>
            <w:noProof/>
            <w:webHidden/>
          </w:rPr>
          <w:fldChar w:fldCharType="separate"/>
        </w:r>
        <w:r w:rsidR="00F439B9">
          <w:rPr>
            <w:noProof/>
            <w:webHidden/>
          </w:rPr>
          <w:t>19</w:t>
        </w:r>
        <w:r w:rsidR="00F439B9">
          <w:rPr>
            <w:noProof/>
            <w:webHidden/>
          </w:rPr>
          <w:fldChar w:fldCharType="end"/>
        </w:r>
      </w:hyperlink>
    </w:p>
    <w:p w14:paraId="4D097EC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8" w:history="1">
        <w:r w:rsidR="00F439B9" w:rsidRPr="00C1193B">
          <w:rPr>
            <w:rStyle w:val="Hyperlink"/>
            <w:noProof/>
            <w:lang w:eastAsia="en-US" w:bidi="ar-SA"/>
          </w:rPr>
          <w:t>Media Services – Service d’Encodage</w:t>
        </w:r>
        <w:r w:rsidR="00F439B9">
          <w:rPr>
            <w:noProof/>
            <w:webHidden/>
          </w:rPr>
          <w:tab/>
        </w:r>
        <w:r w:rsidR="00F439B9">
          <w:rPr>
            <w:noProof/>
            <w:webHidden/>
          </w:rPr>
          <w:fldChar w:fldCharType="begin"/>
        </w:r>
        <w:r w:rsidR="00F439B9">
          <w:rPr>
            <w:noProof/>
            <w:webHidden/>
          </w:rPr>
          <w:instrText xml:space="preserve"> PAGEREF _Toc416782668 \h </w:instrText>
        </w:r>
        <w:r w:rsidR="00F439B9">
          <w:rPr>
            <w:noProof/>
            <w:webHidden/>
          </w:rPr>
        </w:r>
        <w:r w:rsidR="00F439B9">
          <w:rPr>
            <w:noProof/>
            <w:webHidden/>
          </w:rPr>
          <w:fldChar w:fldCharType="separate"/>
        </w:r>
        <w:r w:rsidR="00F439B9">
          <w:rPr>
            <w:noProof/>
            <w:webHidden/>
          </w:rPr>
          <w:t>19</w:t>
        </w:r>
        <w:r w:rsidR="00F439B9">
          <w:rPr>
            <w:noProof/>
            <w:webHidden/>
          </w:rPr>
          <w:fldChar w:fldCharType="end"/>
        </w:r>
      </w:hyperlink>
    </w:p>
    <w:p w14:paraId="00526667"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69" w:history="1">
        <w:r w:rsidR="00F439B9" w:rsidRPr="00C1193B">
          <w:rPr>
            <w:rStyle w:val="Hyperlink"/>
            <w:noProof/>
            <w:lang w:val="en-US" w:eastAsia="en-US" w:bidi="ar-SA"/>
          </w:rPr>
          <w:t>Media Services – Service d’Indexation</w:t>
        </w:r>
        <w:r w:rsidR="00F439B9">
          <w:rPr>
            <w:noProof/>
            <w:webHidden/>
          </w:rPr>
          <w:tab/>
        </w:r>
        <w:r w:rsidR="00F439B9">
          <w:rPr>
            <w:noProof/>
            <w:webHidden/>
          </w:rPr>
          <w:fldChar w:fldCharType="begin"/>
        </w:r>
        <w:r w:rsidR="00F439B9">
          <w:rPr>
            <w:noProof/>
            <w:webHidden/>
          </w:rPr>
          <w:instrText xml:space="preserve"> PAGEREF _Toc416782669 \h </w:instrText>
        </w:r>
        <w:r w:rsidR="00F439B9">
          <w:rPr>
            <w:noProof/>
            <w:webHidden/>
          </w:rPr>
        </w:r>
        <w:r w:rsidR="00F439B9">
          <w:rPr>
            <w:noProof/>
            <w:webHidden/>
          </w:rPr>
          <w:fldChar w:fldCharType="separate"/>
        </w:r>
        <w:r w:rsidR="00F439B9">
          <w:rPr>
            <w:noProof/>
            <w:webHidden/>
          </w:rPr>
          <w:t>19</w:t>
        </w:r>
        <w:r w:rsidR="00F439B9">
          <w:rPr>
            <w:noProof/>
            <w:webHidden/>
          </w:rPr>
          <w:fldChar w:fldCharType="end"/>
        </w:r>
      </w:hyperlink>
    </w:p>
    <w:p w14:paraId="742F2E6B"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0" w:history="1">
        <w:r w:rsidR="00F439B9" w:rsidRPr="00C1193B">
          <w:rPr>
            <w:rStyle w:val="Hyperlink"/>
            <w:noProof/>
          </w:rPr>
          <w:t>Media Services – Canaux en Direct</w:t>
        </w:r>
        <w:r w:rsidR="00F439B9">
          <w:rPr>
            <w:noProof/>
            <w:webHidden/>
          </w:rPr>
          <w:tab/>
        </w:r>
        <w:r w:rsidR="00F439B9">
          <w:rPr>
            <w:noProof/>
            <w:webHidden/>
          </w:rPr>
          <w:fldChar w:fldCharType="begin"/>
        </w:r>
        <w:r w:rsidR="00F439B9">
          <w:rPr>
            <w:noProof/>
            <w:webHidden/>
          </w:rPr>
          <w:instrText xml:space="preserve"> PAGEREF _Toc416782670 \h </w:instrText>
        </w:r>
        <w:r w:rsidR="00F439B9">
          <w:rPr>
            <w:noProof/>
            <w:webHidden/>
          </w:rPr>
        </w:r>
        <w:r w:rsidR="00F439B9">
          <w:rPr>
            <w:noProof/>
            <w:webHidden/>
          </w:rPr>
          <w:fldChar w:fldCharType="separate"/>
        </w:r>
        <w:r w:rsidR="00F439B9">
          <w:rPr>
            <w:noProof/>
            <w:webHidden/>
          </w:rPr>
          <w:t>20</w:t>
        </w:r>
        <w:r w:rsidR="00F439B9">
          <w:rPr>
            <w:noProof/>
            <w:webHidden/>
          </w:rPr>
          <w:fldChar w:fldCharType="end"/>
        </w:r>
      </w:hyperlink>
    </w:p>
    <w:p w14:paraId="5114B722"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1" w:history="1">
        <w:r w:rsidR="00F439B9" w:rsidRPr="00C1193B">
          <w:rPr>
            <w:rStyle w:val="Hyperlink"/>
            <w:noProof/>
            <w:lang w:val="en-US" w:eastAsia="en-US" w:bidi="ar-SA"/>
          </w:rPr>
          <w:t>Media Services – Service de Diffusion</w:t>
        </w:r>
        <w:r w:rsidR="00F439B9">
          <w:rPr>
            <w:noProof/>
            <w:webHidden/>
          </w:rPr>
          <w:tab/>
        </w:r>
        <w:r w:rsidR="00F439B9">
          <w:rPr>
            <w:noProof/>
            <w:webHidden/>
          </w:rPr>
          <w:fldChar w:fldCharType="begin"/>
        </w:r>
        <w:r w:rsidR="00F439B9">
          <w:rPr>
            <w:noProof/>
            <w:webHidden/>
          </w:rPr>
          <w:instrText xml:space="preserve"> PAGEREF _Toc416782671 \h </w:instrText>
        </w:r>
        <w:r w:rsidR="00F439B9">
          <w:rPr>
            <w:noProof/>
            <w:webHidden/>
          </w:rPr>
        </w:r>
        <w:r w:rsidR="00F439B9">
          <w:rPr>
            <w:noProof/>
            <w:webHidden/>
          </w:rPr>
          <w:fldChar w:fldCharType="separate"/>
        </w:r>
        <w:r w:rsidR="00F439B9">
          <w:rPr>
            <w:noProof/>
            <w:webHidden/>
          </w:rPr>
          <w:t>20</w:t>
        </w:r>
        <w:r w:rsidR="00F439B9">
          <w:rPr>
            <w:noProof/>
            <w:webHidden/>
          </w:rPr>
          <w:fldChar w:fldCharType="end"/>
        </w:r>
      </w:hyperlink>
    </w:p>
    <w:p w14:paraId="22C269BF"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2" w:history="1">
        <w:r w:rsidR="00F439B9" w:rsidRPr="00C1193B">
          <w:rPr>
            <w:rStyle w:val="Hyperlink"/>
            <w:noProof/>
            <w:lang w:eastAsia="en-US" w:bidi="ar-SA"/>
          </w:rPr>
          <w:t>Media Services - Service de Protection de Contenu</w:t>
        </w:r>
        <w:r w:rsidR="00F439B9">
          <w:rPr>
            <w:noProof/>
            <w:webHidden/>
          </w:rPr>
          <w:tab/>
        </w:r>
        <w:r w:rsidR="00F439B9">
          <w:rPr>
            <w:noProof/>
            <w:webHidden/>
          </w:rPr>
          <w:fldChar w:fldCharType="begin"/>
        </w:r>
        <w:r w:rsidR="00F439B9">
          <w:rPr>
            <w:noProof/>
            <w:webHidden/>
          </w:rPr>
          <w:instrText xml:space="preserve"> PAGEREF _Toc416782672 \h </w:instrText>
        </w:r>
        <w:r w:rsidR="00F439B9">
          <w:rPr>
            <w:noProof/>
            <w:webHidden/>
          </w:rPr>
        </w:r>
        <w:r w:rsidR="00F439B9">
          <w:rPr>
            <w:noProof/>
            <w:webHidden/>
          </w:rPr>
          <w:fldChar w:fldCharType="separate"/>
        </w:r>
        <w:r w:rsidR="00F439B9">
          <w:rPr>
            <w:noProof/>
            <w:webHidden/>
          </w:rPr>
          <w:t>21</w:t>
        </w:r>
        <w:r w:rsidR="00F439B9">
          <w:rPr>
            <w:noProof/>
            <w:webHidden/>
          </w:rPr>
          <w:fldChar w:fldCharType="end"/>
        </w:r>
      </w:hyperlink>
    </w:p>
    <w:p w14:paraId="175F886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3" w:history="1">
        <w:r w:rsidR="00F439B9" w:rsidRPr="00C1193B">
          <w:rPr>
            <w:rStyle w:val="Hyperlink"/>
            <w:noProof/>
            <w:lang w:val="en-US" w:eastAsia="en-US" w:bidi="ar-SA"/>
          </w:rPr>
          <w:t>Mobile Services</w:t>
        </w:r>
        <w:r w:rsidR="00F439B9">
          <w:rPr>
            <w:noProof/>
            <w:webHidden/>
          </w:rPr>
          <w:tab/>
        </w:r>
        <w:r w:rsidR="00F439B9">
          <w:rPr>
            <w:noProof/>
            <w:webHidden/>
          </w:rPr>
          <w:fldChar w:fldCharType="begin"/>
        </w:r>
        <w:r w:rsidR="00F439B9">
          <w:rPr>
            <w:noProof/>
            <w:webHidden/>
          </w:rPr>
          <w:instrText xml:space="preserve"> PAGEREF _Toc416782673 \h </w:instrText>
        </w:r>
        <w:r w:rsidR="00F439B9">
          <w:rPr>
            <w:noProof/>
            <w:webHidden/>
          </w:rPr>
        </w:r>
        <w:r w:rsidR="00F439B9">
          <w:rPr>
            <w:noProof/>
            <w:webHidden/>
          </w:rPr>
          <w:fldChar w:fldCharType="separate"/>
        </w:r>
        <w:r w:rsidR="00F439B9">
          <w:rPr>
            <w:noProof/>
            <w:webHidden/>
          </w:rPr>
          <w:t>21</w:t>
        </w:r>
        <w:r w:rsidR="00F439B9">
          <w:rPr>
            <w:noProof/>
            <w:webHidden/>
          </w:rPr>
          <w:fldChar w:fldCharType="end"/>
        </w:r>
      </w:hyperlink>
    </w:p>
    <w:p w14:paraId="47016E60"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4" w:history="1">
        <w:r w:rsidR="00F439B9" w:rsidRPr="00C1193B">
          <w:rPr>
            <w:rStyle w:val="Hyperlink"/>
            <w:noProof/>
            <w:lang w:eastAsia="en-US" w:bidi="ar-SA"/>
          </w:rPr>
          <w:t>Service Multi-Factor Authentication</w:t>
        </w:r>
        <w:r w:rsidR="00F439B9">
          <w:rPr>
            <w:noProof/>
            <w:webHidden/>
          </w:rPr>
          <w:tab/>
        </w:r>
        <w:r w:rsidR="00F439B9">
          <w:rPr>
            <w:noProof/>
            <w:webHidden/>
          </w:rPr>
          <w:fldChar w:fldCharType="begin"/>
        </w:r>
        <w:r w:rsidR="00F439B9">
          <w:rPr>
            <w:noProof/>
            <w:webHidden/>
          </w:rPr>
          <w:instrText xml:space="preserve"> PAGEREF _Toc416782674 \h </w:instrText>
        </w:r>
        <w:r w:rsidR="00F439B9">
          <w:rPr>
            <w:noProof/>
            <w:webHidden/>
          </w:rPr>
        </w:r>
        <w:r w:rsidR="00F439B9">
          <w:rPr>
            <w:noProof/>
            <w:webHidden/>
          </w:rPr>
          <w:fldChar w:fldCharType="separate"/>
        </w:r>
        <w:r w:rsidR="00F439B9">
          <w:rPr>
            <w:noProof/>
            <w:webHidden/>
          </w:rPr>
          <w:t>22</w:t>
        </w:r>
        <w:r w:rsidR="00F439B9">
          <w:rPr>
            <w:noProof/>
            <w:webHidden/>
          </w:rPr>
          <w:fldChar w:fldCharType="end"/>
        </w:r>
      </w:hyperlink>
    </w:p>
    <w:p w14:paraId="1CF43C3B"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5" w:history="1">
        <w:r w:rsidR="00F439B9" w:rsidRPr="00C1193B">
          <w:rPr>
            <w:rStyle w:val="Hyperlink"/>
            <w:noProof/>
            <w:lang w:val="en-US" w:eastAsia="en-US" w:bidi="ar-SA"/>
          </w:rPr>
          <w:t>RemoteApp</w:t>
        </w:r>
        <w:r w:rsidR="00F439B9">
          <w:rPr>
            <w:noProof/>
            <w:webHidden/>
          </w:rPr>
          <w:tab/>
        </w:r>
        <w:r w:rsidR="00F439B9">
          <w:rPr>
            <w:noProof/>
            <w:webHidden/>
          </w:rPr>
          <w:fldChar w:fldCharType="begin"/>
        </w:r>
        <w:r w:rsidR="00F439B9">
          <w:rPr>
            <w:noProof/>
            <w:webHidden/>
          </w:rPr>
          <w:instrText xml:space="preserve"> PAGEREF _Toc416782675 \h </w:instrText>
        </w:r>
        <w:r w:rsidR="00F439B9">
          <w:rPr>
            <w:noProof/>
            <w:webHidden/>
          </w:rPr>
        </w:r>
        <w:r w:rsidR="00F439B9">
          <w:rPr>
            <w:noProof/>
            <w:webHidden/>
          </w:rPr>
          <w:fldChar w:fldCharType="separate"/>
        </w:r>
        <w:r w:rsidR="00F439B9">
          <w:rPr>
            <w:noProof/>
            <w:webHidden/>
          </w:rPr>
          <w:t>22</w:t>
        </w:r>
        <w:r w:rsidR="00F439B9">
          <w:rPr>
            <w:noProof/>
            <w:webHidden/>
          </w:rPr>
          <w:fldChar w:fldCharType="end"/>
        </w:r>
      </w:hyperlink>
    </w:p>
    <w:p w14:paraId="60B777BA"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6" w:history="1">
        <w:r w:rsidR="00F439B9" w:rsidRPr="00C1193B">
          <w:rPr>
            <w:rStyle w:val="Hyperlink"/>
            <w:noProof/>
            <w:lang w:eastAsia="en-US" w:bidi="ar-SA"/>
          </w:rPr>
          <w:t>Scheduler</w:t>
        </w:r>
        <w:r w:rsidR="00F439B9">
          <w:rPr>
            <w:noProof/>
            <w:webHidden/>
          </w:rPr>
          <w:tab/>
        </w:r>
        <w:r w:rsidR="00F439B9">
          <w:rPr>
            <w:noProof/>
            <w:webHidden/>
          </w:rPr>
          <w:fldChar w:fldCharType="begin"/>
        </w:r>
        <w:r w:rsidR="00F439B9">
          <w:rPr>
            <w:noProof/>
            <w:webHidden/>
          </w:rPr>
          <w:instrText xml:space="preserve"> PAGEREF _Toc416782676 \h </w:instrText>
        </w:r>
        <w:r w:rsidR="00F439B9">
          <w:rPr>
            <w:noProof/>
            <w:webHidden/>
          </w:rPr>
        </w:r>
        <w:r w:rsidR="00F439B9">
          <w:rPr>
            <w:noProof/>
            <w:webHidden/>
          </w:rPr>
          <w:fldChar w:fldCharType="separate"/>
        </w:r>
        <w:r w:rsidR="00F439B9">
          <w:rPr>
            <w:noProof/>
            <w:webHidden/>
          </w:rPr>
          <w:t>23</w:t>
        </w:r>
        <w:r w:rsidR="00F439B9">
          <w:rPr>
            <w:noProof/>
            <w:webHidden/>
          </w:rPr>
          <w:fldChar w:fldCharType="end"/>
        </w:r>
      </w:hyperlink>
    </w:p>
    <w:p w14:paraId="797901AB"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7" w:history="1">
        <w:r w:rsidR="00F439B9" w:rsidRPr="00C1193B">
          <w:rPr>
            <w:rStyle w:val="Hyperlink"/>
            <w:noProof/>
            <w:lang w:val="en-US" w:eastAsia="en-US" w:bidi="ar-SA"/>
          </w:rPr>
          <w:t>Search</w:t>
        </w:r>
        <w:r w:rsidR="00F439B9">
          <w:rPr>
            <w:noProof/>
            <w:webHidden/>
          </w:rPr>
          <w:tab/>
        </w:r>
        <w:r w:rsidR="00F439B9">
          <w:rPr>
            <w:noProof/>
            <w:webHidden/>
          </w:rPr>
          <w:fldChar w:fldCharType="begin"/>
        </w:r>
        <w:r w:rsidR="00F439B9">
          <w:rPr>
            <w:noProof/>
            <w:webHidden/>
          </w:rPr>
          <w:instrText xml:space="preserve"> PAGEREF _Toc416782677 \h </w:instrText>
        </w:r>
        <w:r w:rsidR="00F439B9">
          <w:rPr>
            <w:noProof/>
            <w:webHidden/>
          </w:rPr>
        </w:r>
        <w:r w:rsidR="00F439B9">
          <w:rPr>
            <w:noProof/>
            <w:webHidden/>
          </w:rPr>
          <w:fldChar w:fldCharType="separate"/>
        </w:r>
        <w:r w:rsidR="00F439B9">
          <w:rPr>
            <w:noProof/>
            <w:webHidden/>
          </w:rPr>
          <w:t>23</w:t>
        </w:r>
        <w:r w:rsidR="00F439B9">
          <w:rPr>
            <w:noProof/>
            <w:webHidden/>
          </w:rPr>
          <w:fldChar w:fldCharType="end"/>
        </w:r>
      </w:hyperlink>
    </w:p>
    <w:p w14:paraId="3241FAE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8" w:history="1">
        <w:r w:rsidR="00F439B9" w:rsidRPr="00C1193B">
          <w:rPr>
            <w:rStyle w:val="Hyperlink"/>
            <w:noProof/>
            <w:lang w:eastAsia="en-US" w:bidi="ar-SA"/>
          </w:rPr>
          <w:t>Service Service-Bus – Relais</w:t>
        </w:r>
        <w:r w:rsidR="00F439B9">
          <w:rPr>
            <w:noProof/>
            <w:webHidden/>
          </w:rPr>
          <w:tab/>
        </w:r>
        <w:r w:rsidR="00F439B9">
          <w:rPr>
            <w:noProof/>
            <w:webHidden/>
          </w:rPr>
          <w:fldChar w:fldCharType="begin"/>
        </w:r>
        <w:r w:rsidR="00F439B9">
          <w:rPr>
            <w:noProof/>
            <w:webHidden/>
          </w:rPr>
          <w:instrText xml:space="preserve"> PAGEREF _Toc416782678 \h </w:instrText>
        </w:r>
        <w:r w:rsidR="00F439B9">
          <w:rPr>
            <w:noProof/>
            <w:webHidden/>
          </w:rPr>
        </w:r>
        <w:r w:rsidR="00F439B9">
          <w:rPr>
            <w:noProof/>
            <w:webHidden/>
          </w:rPr>
          <w:fldChar w:fldCharType="separate"/>
        </w:r>
        <w:r w:rsidR="00F439B9">
          <w:rPr>
            <w:noProof/>
            <w:webHidden/>
          </w:rPr>
          <w:t>23</w:t>
        </w:r>
        <w:r w:rsidR="00F439B9">
          <w:rPr>
            <w:noProof/>
            <w:webHidden/>
          </w:rPr>
          <w:fldChar w:fldCharType="end"/>
        </w:r>
      </w:hyperlink>
    </w:p>
    <w:p w14:paraId="28442F0A"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79" w:history="1">
        <w:r w:rsidR="00F439B9" w:rsidRPr="00C1193B">
          <w:rPr>
            <w:rStyle w:val="Hyperlink"/>
            <w:noProof/>
            <w:lang w:eastAsia="en-US" w:bidi="ar-SA"/>
          </w:rPr>
          <w:t>Service Service-Bus - Files d’Attente et Rubriques</w:t>
        </w:r>
        <w:r w:rsidR="00F439B9">
          <w:rPr>
            <w:noProof/>
            <w:webHidden/>
          </w:rPr>
          <w:tab/>
        </w:r>
        <w:r w:rsidR="00F439B9">
          <w:rPr>
            <w:noProof/>
            <w:webHidden/>
          </w:rPr>
          <w:fldChar w:fldCharType="begin"/>
        </w:r>
        <w:r w:rsidR="00F439B9">
          <w:rPr>
            <w:noProof/>
            <w:webHidden/>
          </w:rPr>
          <w:instrText xml:space="preserve"> PAGEREF _Toc416782679 \h </w:instrText>
        </w:r>
        <w:r w:rsidR="00F439B9">
          <w:rPr>
            <w:noProof/>
            <w:webHidden/>
          </w:rPr>
        </w:r>
        <w:r w:rsidR="00F439B9">
          <w:rPr>
            <w:noProof/>
            <w:webHidden/>
          </w:rPr>
          <w:fldChar w:fldCharType="separate"/>
        </w:r>
        <w:r w:rsidR="00F439B9">
          <w:rPr>
            <w:noProof/>
            <w:webHidden/>
          </w:rPr>
          <w:t>24</w:t>
        </w:r>
        <w:r w:rsidR="00F439B9">
          <w:rPr>
            <w:noProof/>
            <w:webHidden/>
          </w:rPr>
          <w:fldChar w:fldCharType="end"/>
        </w:r>
      </w:hyperlink>
    </w:p>
    <w:p w14:paraId="5ACD5D69"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0" w:history="1">
        <w:r w:rsidR="00F439B9" w:rsidRPr="00C1193B">
          <w:rPr>
            <w:rStyle w:val="Hyperlink"/>
            <w:noProof/>
          </w:rPr>
          <w:t>Service Service-Bus - Concentrateurs de Notification</w:t>
        </w:r>
        <w:r w:rsidR="00F439B9">
          <w:rPr>
            <w:noProof/>
            <w:webHidden/>
          </w:rPr>
          <w:tab/>
        </w:r>
        <w:r w:rsidR="00F439B9">
          <w:rPr>
            <w:noProof/>
            <w:webHidden/>
          </w:rPr>
          <w:fldChar w:fldCharType="begin"/>
        </w:r>
        <w:r w:rsidR="00F439B9">
          <w:rPr>
            <w:noProof/>
            <w:webHidden/>
          </w:rPr>
          <w:instrText xml:space="preserve"> PAGEREF _Toc416782680 \h </w:instrText>
        </w:r>
        <w:r w:rsidR="00F439B9">
          <w:rPr>
            <w:noProof/>
            <w:webHidden/>
          </w:rPr>
        </w:r>
        <w:r w:rsidR="00F439B9">
          <w:rPr>
            <w:noProof/>
            <w:webHidden/>
          </w:rPr>
          <w:fldChar w:fldCharType="separate"/>
        </w:r>
        <w:r w:rsidR="00F439B9">
          <w:rPr>
            <w:noProof/>
            <w:webHidden/>
          </w:rPr>
          <w:t>24</w:t>
        </w:r>
        <w:r w:rsidR="00F439B9">
          <w:rPr>
            <w:noProof/>
            <w:webHidden/>
          </w:rPr>
          <w:fldChar w:fldCharType="end"/>
        </w:r>
      </w:hyperlink>
    </w:p>
    <w:p w14:paraId="138569A0"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1" w:history="1">
        <w:r w:rsidR="00F439B9" w:rsidRPr="00C1193B">
          <w:rPr>
            <w:rStyle w:val="Hyperlink"/>
            <w:noProof/>
            <w:lang w:eastAsia="en-US" w:bidi="ar-SA"/>
          </w:rPr>
          <w:t>Service Service-Bus - Concentrateurs d’Événement</w:t>
        </w:r>
        <w:r w:rsidR="00F439B9">
          <w:rPr>
            <w:noProof/>
            <w:webHidden/>
          </w:rPr>
          <w:tab/>
        </w:r>
        <w:r w:rsidR="00F439B9">
          <w:rPr>
            <w:noProof/>
            <w:webHidden/>
          </w:rPr>
          <w:fldChar w:fldCharType="begin"/>
        </w:r>
        <w:r w:rsidR="00F439B9">
          <w:rPr>
            <w:noProof/>
            <w:webHidden/>
          </w:rPr>
          <w:instrText xml:space="preserve"> PAGEREF _Toc416782681 \h </w:instrText>
        </w:r>
        <w:r w:rsidR="00F439B9">
          <w:rPr>
            <w:noProof/>
            <w:webHidden/>
          </w:rPr>
        </w:r>
        <w:r w:rsidR="00F439B9">
          <w:rPr>
            <w:noProof/>
            <w:webHidden/>
          </w:rPr>
          <w:fldChar w:fldCharType="separate"/>
        </w:r>
        <w:r w:rsidR="00F439B9">
          <w:rPr>
            <w:noProof/>
            <w:webHidden/>
          </w:rPr>
          <w:t>25</w:t>
        </w:r>
        <w:r w:rsidR="00F439B9">
          <w:rPr>
            <w:noProof/>
            <w:webHidden/>
          </w:rPr>
          <w:fldChar w:fldCharType="end"/>
        </w:r>
      </w:hyperlink>
    </w:p>
    <w:p w14:paraId="0031E8DC"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2" w:history="1">
        <w:r w:rsidR="00F439B9" w:rsidRPr="00C1193B">
          <w:rPr>
            <w:rStyle w:val="Hyperlink"/>
            <w:noProof/>
            <w:lang w:eastAsia="en-US" w:bidi="ar-SA"/>
          </w:rPr>
          <w:t>Service Site Recovery – Basculement de Site Local vers Azure</w:t>
        </w:r>
        <w:r w:rsidR="00F439B9">
          <w:rPr>
            <w:noProof/>
            <w:webHidden/>
          </w:rPr>
          <w:tab/>
        </w:r>
        <w:r w:rsidR="00F439B9">
          <w:rPr>
            <w:noProof/>
            <w:webHidden/>
          </w:rPr>
          <w:fldChar w:fldCharType="begin"/>
        </w:r>
        <w:r w:rsidR="00F439B9">
          <w:rPr>
            <w:noProof/>
            <w:webHidden/>
          </w:rPr>
          <w:instrText xml:space="preserve"> PAGEREF _Toc416782682 \h </w:instrText>
        </w:r>
        <w:r w:rsidR="00F439B9">
          <w:rPr>
            <w:noProof/>
            <w:webHidden/>
          </w:rPr>
        </w:r>
        <w:r w:rsidR="00F439B9">
          <w:rPr>
            <w:noProof/>
            <w:webHidden/>
          </w:rPr>
          <w:fldChar w:fldCharType="separate"/>
        </w:r>
        <w:r w:rsidR="00F439B9">
          <w:rPr>
            <w:noProof/>
            <w:webHidden/>
          </w:rPr>
          <w:t>25</w:t>
        </w:r>
        <w:r w:rsidR="00F439B9">
          <w:rPr>
            <w:noProof/>
            <w:webHidden/>
          </w:rPr>
          <w:fldChar w:fldCharType="end"/>
        </w:r>
      </w:hyperlink>
    </w:p>
    <w:p w14:paraId="15BEE936"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3" w:history="1">
        <w:r w:rsidR="00F439B9" w:rsidRPr="00C1193B">
          <w:rPr>
            <w:rStyle w:val="Hyperlink"/>
            <w:noProof/>
            <w:lang w:eastAsia="en-US" w:bidi="ar-SA"/>
          </w:rPr>
          <w:t>Service Site Recovery – Basculement de Site Local vers Site Local</w:t>
        </w:r>
        <w:r w:rsidR="00F439B9">
          <w:rPr>
            <w:noProof/>
            <w:webHidden/>
          </w:rPr>
          <w:tab/>
        </w:r>
        <w:r w:rsidR="00F439B9">
          <w:rPr>
            <w:noProof/>
            <w:webHidden/>
          </w:rPr>
          <w:fldChar w:fldCharType="begin"/>
        </w:r>
        <w:r w:rsidR="00F439B9">
          <w:rPr>
            <w:noProof/>
            <w:webHidden/>
          </w:rPr>
          <w:instrText xml:space="preserve"> PAGEREF _Toc416782683 \h </w:instrText>
        </w:r>
        <w:r w:rsidR="00F439B9">
          <w:rPr>
            <w:noProof/>
            <w:webHidden/>
          </w:rPr>
        </w:r>
        <w:r w:rsidR="00F439B9">
          <w:rPr>
            <w:noProof/>
            <w:webHidden/>
          </w:rPr>
          <w:fldChar w:fldCharType="separate"/>
        </w:r>
        <w:r w:rsidR="00F439B9">
          <w:rPr>
            <w:noProof/>
            <w:webHidden/>
          </w:rPr>
          <w:t>26</w:t>
        </w:r>
        <w:r w:rsidR="00F439B9">
          <w:rPr>
            <w:noProof/>
            <w:webHidden/>
          </w:rPr>
          <w:fldChar w:fldCharType="end"/>
        </w:r>
      </w:hyperlink>
    </w:p>
    <w:p w14:paraId="58057351"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4" w:history="1">
        <w:r w:rsidR="00F439B9" w:rsidRPr="00C1193B">
          <w:rPr>
            <w:rStyle w:val="Hyperlink"/>
            <w:noProof/>
          </w:rPr>
          <w:t>Stream Analytics – Appels d’API</w:t>
        </w:r>
        <w:r w:rsidR="00F439B9">
          <w:rPr>
            <w:noProof/>
            <w:webHidden/>
          </w:rPr>
          <w:tab/>
        </w:r>
        <w:r w:rsidR="00F439B9">
          <w:rPr>
            <w:noProof/>
            <w:webHidden/>
          </w:rPr>
          <w:fldChar w:fldCharType="begin"/>
        </w:r>
        <w:r w:rsidR="00F439B9">
          <w:rPr>
            <w:noProof/>
            <w:webHidden/>
          </w:rPr>
          <w:instrText xml:space="preserve"> PAGEREF _Toc416782684 \h </w:instrText>
        </w:r>
        <w:r w:rsidR="00F439B9">
          <w:rPr>
            <w:noProof/>
            <w:webHidden/>
          </w:rPr>
        </w:r>
        <w:r w:rsidR="00F439B9">
          <w:rPr>
            <w:noProof/>
            <w:webHidden/>
          </w:rPr>
          <w:fldChar w:fldCharType="separate"/>
        </w:r>
        <w:r w:rsidR="00F439B9">
          <w:rPr>
            <w:noProof/>
            <w:webHidden/>
          </w:rPr>
          <w:t>26</w:t>
        </w:r>
        <w:r w:rsidR="00F439B9">
          <w:rPr>
            <w:noProof/>
            <w:webHidden/>
          </w:rPr>
          <w:fldChar w:fldCharType="end"/>
        </w:r>
      </w:hyperlink>
    </w:p>
    <w:p w14:paraId="6425C332"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5" w:history="1">
        <w:r w:rsidR="00F439B9" w:rsidRPr="00C1193B">
          <w:rPr>
            <w:rStyle w:val="Hyperlink"/>
            <w:noProof/>
          </w:rPr>
          <w:t>Stream Analytics – Travaux</w:t>
        </w:r>
        <w:r w:rsidR="00F439B9">
          <w:rPr>
            <w:noProof/>
            <w:webHidden/>
          </w:rPr>
          <w:tab/>
        </w:r>
        <w:r w:rsidR="00F439B9">
          <w:rPr>
            <w:noProof/>
            <w:webHidden/>
          </w:rPr>
          <w:fldChar w:fldCharType="begin"/>
        </w:r>
        <w:r w:rsidR="00F439B9">
          <w:rPr>
            <w:noProof/>
            <w:webHidden/>
          </w:rPr>
          <w:instrText xml:space="preserve"> PAGEREF _Toc416782685 \h </w:instrText>
        </w:r>
        <w:r w:rsidR="00F439B9">
          <w:rPr>
            <w:noProof/>
            <w:webHidden/>
          </w:rPr>
        </w:r>
        <w:r w:rsidR="00F439B9">
          <w:rPr>
            <w:noProof/>
            <w:webHidden/>
          </w:rPr>
          <w:fldChar w:fldCharType="separate"/>
        </w:r>
        <w:r w:rsidR="00F439B9">
          <w:rPr>
            <w:noProof/>
            <w:webHidden/>
          </w:rPr>
          <w:t>27</w:t>
        </w:r>
        <w:r w:rsidR="00F439B9">
          <w:rPr>
            <w:noProof/>
            <w:webHidden/>
          </w:rPr>
          <w:fldChar w:fldCharType="end"/>
        </w:r>
      </w:hyperlink>
    </w:p>
    <w:p w14:paraId="17BE403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6" w:history="1">
        <w:r w:rsidR="00F439B9" w:rsidRPr="00C1193B">
          <w:rPr>
            <w:rStyle w:val="Hyperlink"/>
            <w:noProof/>
            <w:lang w:eastAsia="en-US" w:bidi="ar-SA"/>
          </w:rPr>
          <w:t>Service de Base de Données SQL (éditions Web et Business)</w:t>
        </w:r>
        <w:r w:rsidR="00F439B9">
          <w:rPr>
            <w:noProof/>
            <w:webHidden/>
          </w:rPr>
          <w:tab/>
        </w:r>
        <w:r w:rsidR="00F439B9">
          <w:rPr>
            <w:noProof/>
            <w:webHidden/>
          </w:rPr>
          <w:fldChar w:fldCharType="begin"/>
        </w:r>
        <w:r w:rsidR="00F439B9">
          <w:rPr>
            <w:noProof/>
            <w:webHidden/>
          </w:rPr>
          <w:instrText xml:space="preserve"> PAGEREF _Toc416782686 \h </w:instrText>
        </w:r>
        <w:r w:rsidR="00F439B9">
          <w:rPr>
            <w:noProof/>
            <w:webHidden/>
          </w:rPr>
        </w:r>
        <w:r w:rsidR="00F439B9">
          <w:rPr>
            <w:noProof/>
            <w:webHidden/>
          </w:rPr>
          <w:fldChar w:fldCharType="separate"/>
        </w:r>
        <w:r w:rsidR="00F439B9">
          <w:rPr>
            <w:noProof/>
            <w:webHidden/>
          </w:rPr>
          <w:t>27</w:t>
        </w:r>
        <w:r w:rsidR="00F439B9">
          <w:rPr>
            <w:noProof/>
            <w:webHidden/>
          </w:rPr>
          <w:fldChar w:fldCharType="end"/>
        </w:r>
      </w:hyperlink>
    </w:p>
    <w:p w14:paraId="78B32D49"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7" w:history="1">
        <w:r w:rsidR="00F439B9" w:rsidRPr="00C1193B">
          <w:rPr>
            <w:rStyle w:val="Hyperlink"/>
            <w:noProof/>
            <w:lang w:eastAsia="en-US" w:bidi="ar-SA"/>
          </w:rPr>
          <w:t>Service de Base de Données SQL (éditions De Base, Standard et Premium)</w:t>
        </w:r>
        <w:r w:rsidR="00F439B9">
          <w:rPr>
            <w:noProof/>
            <w:webHidden/>
          </w:rPr>
          <w:tab/>
        </w:r>
        <w:r w:rsidR="00F439B9">
          <w:rPr>
            <w:noProof/>
            <w:webHidden/>
          </w:rPr>
          <w:fldChar w:fldCharType="begin"/>
        </w:r>
        <w:r w:rsidR="00F439B9">
          <w:rPr>
            <w:noProof/>
            <w:webHidden/>
          </w:rPr>
          <w:instrText xml:space="preserve"> PAGEREF _Toc416782687 \h </w:instrText>
        </w:r>
        <w:r w:rsidR="00F439B9">
          <w:rPr>
            <w:noProof/>
            <w:webHidden/>
          </w:rPr>
        </w:r>
        <w:r w:rsidR="00F439B9">
          <w:rPr>
            <w:noProof/>
            <w:webHidden/>
          </w:rPr>
          <w:fldChar w:fldCharType="separate"/>
        </w:r>
        <w:r w:rsidR="00F439B9">
          <w:rPr>
            <w:noProof/>
            <w:webHidden/>
          </w:rPr>
          <w:t>28</w:t>
        </w:r>
        <w:r w:rsidR="00F439B9">
          <w:rPr>
            <w:noProof/>
            <w:webHidden/>
          </w:rPr>
          <w:fldChar w:fldCharType="end"/>
        </w:r>
      </w:hyperlink>
    </w:p>
    <w:p w14:paraId="0CDD5484"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8" w:history="1">
        <w:r w:rsidR="00F439B9" w:rsidRPr="00C1193B">
          <w:rPr>
            <w:rStyle w:val="Hyperlink"/>
            <w:noProof/>
            <w:lang w:val="en-US" w:eastAsia="en-US" w:bidi="ar-SA"/>
          </w:rPr>
          <w:t>Service Storage</w:t>
        </w:r>
        <w:r w:rsidR="00F439B9">
          <w:rPr>
            <w:noProof/>
            <w:webHidden/>
          </w:rPr>
          <w:tab/>
        </w:r>
        <w:r w:rsidR="00F439B9">
          <w:rPr>
            <w:noProof/>
            <w:webHidden/>
          </w:rPr>
          <w:fldChar w:fldCharType="begin"/>
        </w:r>
        <w:r w:rsidR="00F439B9">
          <w:rPr>
            <w:noProof/>
            <w:webHidden/>
          </w:rPr>
          <w:instrText xml:space="preserve"> PAGEREF _Toc416782688 \h </w:instrText>
        </w:r>
        <w:r w:rsidR="00F439B9">
          <w:rPr>
            <w:noProof/>
            <w:webHidden/>
          </w:rPr>
        </w:r>
        <w:r w:rsidR="00F439B9">
          <w:rPr>
            <w:noProof/>
            <w:webHidden/>
          </w:rPr>
          <w:fldChar w:fldCharType="separate"/>
        </w:r>
        <w:r w:rsidR="00F439B9">
          <w:rPr>
            <w:noProof/>
            <w:webHidden/>
          </w:rPr>
          <w:t>28</w:t>
        </w:r>
        <w:r w:rsidR="00F439B9">
          <w:rPr>
            <w:noProof/>
            <w:webHidden/>
          </w:rPr>
          <w:fldChar w:fldCharType="end"/>
        </w:r>
      </w:hyperlink>
    </w:p>
    <w:p w14:paraId="21FFFD55"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89" w:history="1">
        <w:r w:rsidR="00F439B9" w:rsidRPr="00C1193B">
          <w:rPr>
            <w:rStyle w:val="Hyperlink"/>
            <w:noProof/>
            <w:lang w:val="en-US" w:eastAsia="en-US" w:bidi="ar-SA"/>
          </w:rPr>
          <w:t>Service StorSimple</w:t>
        </w:r>
        <w:r w:rsidR="00F439B9">
          <w:rPr>
            <w:noProof/>
            <w:webHidden/>
          </w:rPr>
          <w:tab/>
        </w:r>
        <w:r w:rsidR="00F439B9">
          <w:rPr>
            <w:noProof/>
            <w:webHidden/>
          </w:rPr>
          <w:fldChar w:fldCharType="begin"/>
        </w:r>
        <w:r w:rsidR="00F439B9">
          <w:rPr>
            <w:noProof/>
            <w:webHidden/>
          </w:rPr>
          <w:instrText xml:space="preserve"> PAGEREF _Toc416782689 \h </w:instrText>
        </w:r>
        <w:r w:rsidR="00F439B9">
          <w:rPr>
            <w:noProof/>
            <w:webHidden/>
          </w:rPr>
        </w:r>
        <w:r w:rsidR="00F439B9">
          <w:rPr>
            <w:noProof/>
            <w:webHidden/>
          </w:rPr>
          <w:fldChar w:fldCharType="separate"/>
        </w:r>
        <w:r w:rsidR="00F439B9">
          <w:rPr>
            <w:noProof/>
            <w:webHidden/>
          </w:rPr>
          <w:t>30</w:t>
        </w:r>
        <w:r w:rsidR="00F439B9">
          <w:rPr>
            <w:noProof/>
            <w:webHidden/>
          </w:rPr>
          <w:fldChar w:fldCharType="end"/>
        </w:r>
      </w:hyperlink>
    </w:p>
    <w:p w14:paraId="74A67440"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0" w:history="1">
        <w:r w:rsidR="00F439B9" w:rsidRPr="00C1193B">
          <w:rPr>
            <w:rStyle w:val="Hyperlink"/>
            <w:noProof/>
            <w:lang w:val="en-US" w:eastAsia="en-US" w:bidi="ar-SA"/>
          </w:rPr>
          <w:t>Service Traffic Manager</w:t>
        </w:r>
        <w:r w:rsidR="00F439B9">
          <w:rPr>
            <w:noProof/>
            <w:webHidden/>
          </w:rPr>
          <w:tab/>
        </w:r>
        <w:r w:rsidR="00F439B9">
          <w:rPr>
            <w:noProof/>
            <w:webHidden/>
          </w:rPr>
          <w:fldChar w:fldCharType="begin"/>
        </w:r>
        <w:r w:rsidR="00F439B9">
          <w:rPr>
            <w:noProof/>
            <w:webHidden/>
          </w:rPr>
          <w:instrText xml:space="preserve"> PAGEREF _Toc416782690 \h </w:instrText>
        </w:r>
        <w:r w:rsidR="00F439B9">
          <w:rPr>
            <w:noProof/>
            <w:webHidden/>
          </w:rPr>
        </w:r>
        <w:r w:rsidR="00F439B9">
          <w:rPr>
            <w:noProof/>
            <w:webHidden/>
          </w:rPr>
          <w:fldChar w:fldCharType="separate"/>
        </w:r>
        <w:r w:rsidR="00F439B9">
          <w:rPr>
            <w:noProof/>
            <w:webHidden/>
          </w:rPr>
          <w:t>30</w:t>
        </w:r>
        <w:r w:rsidR="00F439B9">
          <w:rPr>
            <w:noProof/>
            <w:webHidden/>
          </w:rPr>
          <w:fldChar w:fldCharType="end"/>
        </w:r>
      </w:hyperlink>
    </w:p>
    <w:p w14:paraId="30C6BB4E"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1" w:history="1">
        <w:r w:rsidR="00F439B9" w:rsidRPr="00C1193B">
          <w:rPr>
            <w:rStyle w:val="Hyperlink"/>
            <w:noProof/>
            <w:lang w:val="en-US" w:eastAsia="en-US" w:bidi="ar-SA"/>
          </w:rPr>
          <w:t>Machines virtuelles</w:t>
        </w:r>
        <w:r w:rsidR="00F439B9">
          <w:rPr>
            <w:noProof/>
            <w:webHidden/>
          </w:rPr>
          <w:tab/>
        </w:r>
        <w:r w:rsidR="00F439B9">
          <w:rPr>
            <w:noProof/>
            <w:webHidden/>
          </w:rPr>
          <w:fldChar w:fldCharType="begin"/>
        </w:r>
        <w:r w:rsidR="00F439B9">
          <w:rPr>
            <w:noProof/>
            <w:webHidden/>
          </w:rPr>
          <w:instrText xml:space="preserve"> PAGEREF _Toc416782691 \h </w:instrText>
        </w:r>
        <w:r w:rsidR="00F439B9">
          <w:rPr>
            <w:noProof/>
            <w:webHidden/>
          </w:rPr>
        </w:r>
        <w:r w:rsidR="00F439B9">
          <w:rPr>
            <w:noProof/>
            <w:webHidden/>
          </w:rPr>
          <w:fldChar w:fldCharType="separate"/>
        </w:r>
        <w:r w:rsidR="00F439B9">
          <w:rPr>
            <w:noProof/>
            <w:webHidden/>
          </w:rPr>
          <w:t>31</w:t>
        </w:r>
        <w:r w:rsidR="00F439B9">
          <w:rPr>
            <w:noProof/>
            <w:webHidden/>
          </w:rPr>
          <w:fldChar w:fldCharType="end"/>
        </w:r>
      </w:hyperlink>
    </w:p>
    <w:p w14:paraId="530C6325"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2" w:history="1">
        <w:r w:rsidR="00F439B9" w:rsidRPr="00C1193B">
          <w:rPr>
            <w:rStyle w:val="Hyperlink"/>
            <w:noProof/>
            <w:lang w:val="en-US" w:eastAsia="en-US" w:bidi="ar-SA"/>
          </w:rPr>
          <w:t>Réseau Virtuel</w:t>
        </w:r>
        <w:r w:rsidR="00F439B9">
          <w:rPr>
            <w:noProof/>
            <w:webHidden/>
          </w:rPr>
          <w:tab/>
        </w:r>
        <w:r w:rsidR="00F439B9">
          <w:rPr>
            <w:noProof/>
            <w:webHidden/>
          </w:rPr>
          <w:fldChar w:fldCharType="begin"/>
        </w:r>
        <w:r w:rsidR="00F439B9">
          <w:rPr>
            <w:noProof/>
            <w:webHidden/>
          </w:rPr>
          <w:instrText xml:space="preserve"> PAGEREF _Toc416782692 \h </w:instrText>
        </w:r>
        <w:r w:rsidR="00F439B9">
          <w:rPr>
            <w:noProof/>
            <w:webHidden/>
          </w:rPr>
        </w:r>
        <w:r w:rsidR="00F439B9">
          <w:rPr>
            <w:noProof/>
            <w:webHidden/>
          </w:rPr>
          <w:fldChar w:fldCharType="separate"/>
        </w:r>
        <w:r w:rsidR="00F439B9">
          <w:rPr>
            <w:noProof/>
            <w:webHidden/>
          </w:rPr>
          <w:t>31</w:t>
        </w:r>
        <w:r w:rsidR="00F439B9">
          <w:rPr>
            <w:noProof/>
            <w:webHidden/>
          </w:rPr>
          <w:fldChar w:fldCharType="end"/>
        </w:r>
      </w:hyperlink>
    </w:p>
    <w:p w14:paraId="1D446B0B"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3" w:history="1">
        <w:r w:rsidR="00F439B9" w:rsidRPr="00C1193B">
          <w:rPr>
            <w:rStyle w:val="Hyperlink"/>
            <w:noProof/>
            <w:lang w:eastAsia="en-US" w:bidi="ar-SA"/>
          </w:rPr>
          <w:t>Visual Studio Online – Service des Plans Utilisateur</w:t>
        </w:r>
        <w:r w:rsidR="00F439B9">
          <w:rPr>
            <w:noProof/>
            <w:webHidden/>
          </w:rPr>
          <w:tab/>
        </w:r>
        <w:r w:rsidR="00F439B9">
          <w:rPr>
            <w:noProof/>
            <w:webHidden/>
          </w:rPr>
          <w:fldChar w:fldCharType="begin"/>
        </w:r>
        <w:r w:rsidR="00F439B9">
          <w:rPr>
            <w:noProof/>
            <w:webHidden/>
          </w:rPr>
          <w:instrText xml:space="preserve"> PAGEREF _Toc416782693 \h </w:instrText>
        </w:r>
        <w:r w:rsidR="00F439B9">
          <w:rPr>
            <w:noProof/>
            <w:webHidden/>
          </w:rPr>
        </w:r>
        <w:r w:rsidR="00F439B9">
          <w:rPr>
            <w:noProof/>
            <w:webHidden/>
          </w:rPr>
          <w:fldChar w:fldCharType="separate"/>
        </w:r>
        <w:r w:rsidR="00F439B9">
          <w:rPr>
            <w:noProof/>
            <w:webHidden/>
          </w:rPr>
          <w:t>32</w:t>
        </w:r>
        <w:r w:rsidR="00F439B9">
          <w:rPr>
            <w:noProof/>
            <w:webHidden/>
          </w:rPr>
          <w:fldChar w:fldCharType="end"/>
        </w:r>
      </w:hyperlink>
    </w:p>
    <w:p w14:paraId="64CB4E59"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4" w:history="1">
        <w:r w:rsidR="00F439B9" w:rsidRPr="00C1193B">
          <w:rPr>
            <w:rStyle w:val="Hyperlink"/>
            <w:noProof/>
            <w:lang w:val="en-US" w:eastAsia="en-US" w:bidi="ar-SA"/>
          </w:rPr>
          <w:t>Visual Studio Online – Service de Build</w:t>
        </w:r>
        <w:r w:rsidR="00F439B9">
          <w:rPr>
            <w:noProof/>
            <w:webHidden/>
          </w:rPr>
          <w:tab/>
        </w:r>
        <w:r w:rsidR="00F439B9">
          <w:rPr>
            <w:noProof/>
            <w:webHidden/>
          </w:rPr>
          <w:fldChar w:fldCharType="begin"/>
        </w:r>
        <w:r w:rsidR="00F439B9">
          <w:rPr>
            <w:noProof/>
            <w:webHidden/>
          </w:rPr>
          <w:instrText xml:space="preserve"> PAGEREF _Toc416782694 \h </w:instrText>
        </w:r>
        <w:r w:rsidR="00F439B9">
          <w:rPr>
            <w:noProof/>
            <w:webHidden/>
          </w:rPr>
        </w:r>
        <w:r w:rsidR="00F439B9">
          <w:rPr>
            <w:noProof/>
            <w:webHidden/>
          </w:rPr>
          <w:fldChar w:fldCharType="separate"/>
        </w:r>
        <w:r w:rsidR="00F439B9">
          <w:rPr>
            <w:noProof/>
            <w:webHidden/>
          </w:rPr>
          <w:t>32</w:t>
        </w:r>
        <w:r w:rsidR="00F439B9">
          <w:rPr>
            <w:noProof/>
            <w:webHidden/>
          </w:rPr>
          <w:fldChar w:fldCharType="end"/>
        </w:r>
      </w:hyperlink>
    </w:p>
    <w:p w14:paraId="6689A5DD"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5" w:history="1">
        <w:r w:rsidR="00F439B9" w:rsidRPr="00C1193B">
          <w:rPr>
            <w:rStyle w:val="Hyperlink"/>
            <w:noProof/>
            <w:lang w:eastAsia="en-US" w:bidi="ar-SA"/>
          </w:rPr>
          <w:t>Visual Studio Online – Service de Test de Chargement</w:t>
        </w:r>
        <w:r w:rsidR="00F439B9">
          <w:rPr>
            <w:noProof/>
            <w:webHidden/>
          </w:rPr>
          <w:tab/>
        </w:r>
        <w:r w:rsidR="00F439B9">
          <w:rPr>
            <w:noProof/>
            <w:webHidden/>
          </w:rPr>
          <w:fldChar w:fldCharType="begin"/>
        </w:r>
        <w:r w:rsidR="00F439B9">
          <w:rPr>
            <w:noProof/>
            <w:webHidden/>
          </w:rPr>
          <w:instrText xml:space="preserve"> PAGEREF _Toc416782695 \h </w:instrText>
        </w:r>
        <w:r w:rsidR="00F439B9">
          <w:rPr>
            <w:noProof/>
            <w:webHidden/>
          </w:rPr>
        </w:r>
        <w:r w:rsidR="00F439B9">
          <w:rPr>
            <w:noProof/>
            <w:webHidden/>
          </w:rPr>
          <w:fldChar w:fldCharType="separate"/>
        </w:r>
        <w:r w:rsidR="00F439B9">
          <w:rPr>
            <w:noProof/>
            <w:webHidden/>
          </w:rPr>
          <w:t>33</w:t>
        </w:r>
        <w:r w:rsidR="00F439B9">
          <w:rPr>
            <w:noProof/>
            <w:webHidden/>
          </w:rPr>
          <w:fldChar w:fldCharType="end"/>
        </w:r>
      </w:hyperlink>
    </w:p>
    <w:p w14:paraId="49AD00F3"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6" w:history="1">
        <w:r w:rsidR="00F439B9" w:rsidRPr="00C1193B">
          <w:rPr>
            <w:rStyle w:val="Hyperlink"/>
            <w:noProof/>
            <w:lang w:val="en-US" w:eastAsia="en-US" w:bidi="ar-SA"/>
          </w:rPr>
          <w:t>Service Websites</w:t>
        </w:r>
        <w:r w:rsidR="00F439B9">
          <w:rPr>
            <w:noProof/>
            <w:webHidden/>
          </w:rPr>
          <w:tab/>
        </w:r>
        <w:r w:rsidR="00F439B9">
          <w:rPr>
            <w:noProof/>
            <w:webHidden/>
          </w:rPr>
          <w:fldChar w:fldCharType="begin"/>
        </w:r>
        <w:r w:rsidR="00F439B9">
          <w:rPr>
            <w:noProof/>
            <w:webHidden/>
          </w:rPr>
          <w:instrText xml:space="preserve"> PAGEREF _Toc416782696 \h </w:instrText>
        </w:r>
        <w:r w:rsidR="00F439B9">
          <w:rPr>
            <w:noProof/>
            <w:webHidden/>
          </w:rPr>
        </w:r>
        <w:r w:rsidR="00F439B9">
          <w:rPr>
            <w:noProof/>
            <w:webHidden/>
          </w:rPr>
          <w:fldChar w:fldCharType="separate"/>
        </w:r>
        <w:r w:rsidR="00F439B9">
          <w:rPr>
            <w:noProof/>
            <w:webHidden/>
          </w:rPr>
          <w:t>33</w:t>
        </w:r>
        <w:r w:rsidR="00F439B9">
          <w:rPr>
            <w:noProof/>
            <w:webHidden/>
          </w:rPr>
          <w:fldChar w:fldCharType="end"/>
        </w:r>
      </w:hyperlink>
    </w:p>
    <w:p w14:paraId="0D0A592D" w14:textId="77777777" w:rsidR="00F439B9" w:rsidRDefault="0036129B">
      <w:pPr>
        <w:pStyle w:val="TOC2"/>
        <w:tabs>
          <w:tab w:val="right" w:leader="dot" w:pos="5030"/>
        </w:tabs>
        <w:rPr>
          <w:rFonts w:eastAsiaTheme="minorEastAsia"/>
          <w:b w:val="0"/>
          <w:smallCaps w:val="0"/>
          <w:noProof/>
          <w:sz w:val="22"/>
          <w:lang w:val="en-US" w:eastAsia="zh-CN" w:bidi="he-IL"/>
        </w:rPr>
      </w:pPr>
      <w:hyperlink w:anchor="_Toc416782697" w:history="1">
        <w:r w:rsidR="00F439B9" w:rsidRPr="00C1193B">
          <w:rPr>
            <w:rStyle w:val="Hyperlink"/>
            <w:noProof/>
            <w:lang w:val="en-US" w:eastAsia="en-US" w:bidi="ar-SA"/>
          </w:rPr>
          <w:t>Autres services en ligne</w:t>
        </w:r>
        <w:r w:rsidR="00F439B9">
          <w:rPr>
            <w:noProof/>
            <w:webHidden/>
          </w:rPr>
          <w:tab/>
        </w:r>
        <w:r w:rsidR="00F439B9">
          <w:rPr>
            <w:noProof/>
            <w:webHidden/>
          </w:rPr>
          <w:fldChar w:fldCharType="begin"/>
        </w:r>
        <w:r w:rsidR="00F439B9">
          <w:rPr>
            <w:noProof/>
            <w:webHidden/>
          </w:rPr>
          <w:instrText xml:space="preserve"> PAGEREF _Toc416782697 \h </w:instrText>
        </w:r>
        <w:r w:rsidR="00F439B9">
          <w:rPr>
            <w:noProof/>
            <w:webHidden/>
          </w:rPr>
        </w:r>
        <w:r w:rsidR="00F439B9">
          <w:rPr>
            <w:noProof/>
            <w:webHidden/>
          </w:rPr>
          <w:fldChar w:fldCharType="separate"/>
        </w:r>
        <w:r w:rsidR="00F439B9">
          <w:rPr>
            <w:noProof/>
            <w:webHidden/>
          </w:rPr>
          <w:t>34</w:t>
        </w:r>
        <w:r w:rsidR="00F439B9">
          <w:rPr>
            <w:noProof/>
            <w:webHidden/>
          </w:rPr>
          <w:fldChar w:fldCharType="end"/>
        </w:r>
      </w:hyperlink>
    </w:p>
    <w:p w14:paraId="610BC03A"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8" w:history="1">
        <w:r w:rsidR="00F439B9" w:rsidRPr="00C1193B">
          <w:rPr>
            <w:rStyle w:val="Hyperlink"/>
            <w:noProof/>
            <w:lang w:val="en-US" w:eastAsia="en-US" w:bidi="ar-SA"/>
          </w:rPr>
          <w:t>Bing Maps Plateforme Entreprise</w:t>
        </w:r>
        <w:r w:rsidR="00F439B9">
          <w:rPr>
            <w:noProof/>
            <w:webHidden/>
          </w:rPr>
          <w:tab/>
        </w:r>
        <w:r w:rsidR="00F439B9">
          <w:rPr>
            <w:noProof/>
            <w:webHidden/>
          </w:rPr>
          <w:fldChar w:fldCharType="begin"/>
        </w:r>
        <w:r w:rsidR="00F439B9">
          <w:rPr>
            <w:noProof/>
            <w:webHidden/>
          </w:rPr>
          <w:instrText xml:space="preserve"> PAGEREF _Toc416782698 \h </w:instrText>
        </w:r>
        <w:r w:rsidR="00F439B9">
          <w:rPr>
            <w:noProof/>
            <w:webHidden/>
          </w:rPr>
        </w:r>
        <w:r w:rsidR="00F439B9">
          <w:rPr>
            <w:noProof/>
            <w:webHidden/>
          </w:rPr>
          <w:fldChar w:fldCharType="separate"/>
        </w:r>
        <w:r w:rsidR="00F439B9">
          <w:rPr>
            <w:noProof/>
            <w:webHidden/>
          </w:rPr>
          <w:t>34</w:t>
        </w:r>
        <w:r w:rsidR="00F439B9">
          <w:rPr>
            <w:noProof/>
            <w:webHidden/>
          </w:rPr>
          <w:fldChar w:fldCharType="end"/>
        </w:r>
      </w:hyperlink>
    </w:p>
    <w:p w14:paraId="1ADA69B5"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699" w:history="1">
        <w:r w:rsidR="00F439B9" w:rsidRPr="00C1193B">
          <w:rPr>
            <w:rStyle w:val="Hyperlink"/>
            <w:noProof/>
            <w:lang w:eastAsia="en-US" w:bidi="ar-SA"/>
          </w:rPr>
          <w:t>Bing Maps Gestion des ressources mobiles</w:t>
        </w:r>
        <w:r w:rsidR="00F439B9">
          <w:rPr>
            <w:noProof/>
            <w:webHidden/>
          </w:rPr>
          <w:tab/>
        </w:r>
        <w:r w:rsidR="00F439B9">
          <w:rPr>
            <w:noProof/>
            <w:webHidden/>
          </w:rPr>
          <w:fldChar w:fldCharType="begin"/>
        </w:r>
        <w:r w:rsidR="00F439B9">
          <w:rPr>
            <w:noProof/>
            <w:webHidden/>
          </w:rPr>
          <w:instrText xml:space="preserve"> PAGEREF _Toc416782699 \h </w:instrText>
        </w:r>
        <w:r w:rsidR="00F439B9">
          <w:rPr>
            <w:noProof/>
            <w:webHidden/>
          </w:rPr>
        </w:r>
        <w:r w:rsidR="00F439B9">
          <w:rPr>
            <w:noProof/>
            <w:webHidden/>
          </w:rPr>
          <w:fldChar w:fldCharType="separate"/>
        </w:r>
        <w:r w:rsidR="00F439B9">
          <w:rPr>
            <w:noProof/>
            <w:webHidden/>
          </w:rPr>
          <w:t>34</w:t>
        </w:r>
        <w:r w:rsidR="00F439B9">
          <w:rPr>
            <w:noProof/>
            <w:webHidden/>
          </w:rPr>
          <w:fldChar w:fldCharType="end"/>
        </w:r>
      </w:hyperlink>
    </w:p>
    <w:p w14:paraId="4816092A"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700" w:history="1">
        <w:r w:rsidR="00F439B9" w:rsidRPr="00C1193B">
          <w:rPr>
            <w:rStyle w:val="Hyperlink"/>
            <w:noProof/>
            <w:lang w:eastAsia="en-US" w:bidi="ar-SA"/>
          </w:rPr>
          <w:t>Power BI pour Office 365</w:t>
        </w:r>
        <w:r w:rsidR="00F439B9">
          <w:rPr>
            <w:noProof/>
            <w:webHidden/>
          </w:rPr>
          <w:tab/>
        </w:r>
        <w:r w:rsidR="00F439B9">
          <w:rPr>
            <w:noProof/>
            <w:webHidden/>
          </w:rPr>
          <w:fldChar w:fldCharType="begin"/>
        </w:r>
        <w:r w:rsidR="00F439B9">
          <w:rPr>
            <w:noProof/>
            <w:webHidden/>
          </w:rPr>
          <w:instrText xml:space="preserve"> PAGEREF _Toc416782700 \h </w:instrText>
        </w:r>
        <w:r w:rsidR="00F439B9">
          <w:rPr>
            <w:noProof/>
            <w:webHidden/>
          </w:rPr>
        </w:r>
        <w:r w:rsidR="00F439B9">
          <w:rPr>
            <w:noProof/>
            <w:webHidden/>
          </w:rPr>
          <w:fldChar w:fldCharType="separate"/>
        </w:r>
        <w:r w:rsidR="00F439B9">
          <w:rPr>
            <w:noProof/>
            <w:webHidden/>
          </w:rPr>
          <w:t>35</w:t>
        </w:r>
        <w:r w:rsidR="00F439B9">
          <w:rPr>
            <w:noProof/>
            <w:webHidden/>
          </w:rPr>
          <w:fldChar w:fldCharType="end"/>
        </w:r>
      </w:hyperlink>
    </w:p>
    <w:p w14:paraId="106A63E2" w14:textId="77777777" w:rsidR="00F439B9" w:rsidRDefault="0036129B">
      <w:pPr>
        <w:pStyle w:val="TOC4"/>
        <w:tabs>
          <w:tab w:val="right" w:leader="dot" w:pos="5030"/>
        </w:tabs>
        <w:rPr>
          <w:rFonts w:eastAsiaTheme="minorEastAsia"/>
          <w:smallCaps w:val="0"/>
          <w:noProof/>
          <w:sz w:val="22"/>
          <w:lang w:val="en-US" w:eastAsia="zh-CN" w:bidi="he-IL"/>
        </w:rPr>
      </w:pPr>
      <w:hyperlink w:anchor="_Toc416782701" w:history="1">
        <w:r w:rsidR="00F439B9" w:rsidRPr="00C1193B">
          <w:rPr>
            <w:rStyle w:val="Hyperlink"/>
            <w:noProof/>
            <w:lang w:val="en-US" w:eastAsia="en-US" w:bidi="ar-SA"/>
          </w:rPr>
          <w:t>API Translator</w:t>
        </w:r>
        <w:r w:rsidR="00F439B9">
          <w:rPr>
            <w:noProof/>
            <w:webHidden/>
          </w:rPr>
          <w:tab/>
        </w:r>
        <w:r w:rsidR="00F439B9">
          <w:rPr>
            <w:noProof/>
            <w:webHidden/>
          </w:rPr>
          <w:fldChar w:fldCharType="begin"/>
        </w:r>
        <w:r w:rsidR="00F439B9">
          <w:rPr>
            <w:noProof/>
            <w:webHidden/>
          </w:rPr>
          <w:instrText xml:space="preserve"> PAGEREF _Toc416782701 \h </w:instrText>
        </w:r>
        <w:r w:rsidR="00F439B9">
          <w:rPr>
            <w:noProof/>
            <w:webHidden/>
          </w:rPr>
        </w:r>
        <w:r w:rsidR="00F439B9">
          <w:rPr>
            <w:noProof/>
            <w:webHidden/>
          </w:rPr>
          <w:fldChar w:fldCharType="separate"/>
        </w:r>
        <w:r w:rsidR="00F439B9">
          <w:rPr>
            <w:noProof/>
            <w:webHidden/>
          </w:rPr>
          <w:t>35</w:t>
        </w:r>
        <w:r w:rsidR="00F439B9">
          <w:rPr>
            <w:noProof/>
            <w:webHidden/>
          </w:rPr>
          <w:fldChar w:fldCharType="end"/>
        </w:r>
      </w:hyperlink>
    </w:p>
    <w:p w14:paraId="5C867D7D" w14:textId="77777777" w:rsidR="00F439B9" w:rsidRDefault="0036129B">
      <w:pPr>
        <w:pStyle w:val="TOC1"/>
        <w:tabs>
          <w:tab w:val="right" w:leader="dot" w:pos="5030"/>
        </w:tabs>
        <w:rPr>
          <w:rFonts w:eastAsiaTheme="minorEastAsia"/>
          <w:b w:val="0"/>
          <w:caps w:val="0"/>
          <w:noProof/>
          <w:sz w:val="22"/>
          <w:lang w:val="en-US" w:eastAsia="zh-CN" w:bidi="he-IL"/>
        </w:rPr>
      </w:pPr>
      <w:hyperlink w:anchor="_Toc416782702" w:history="1">
        <w:r w:rsidR="00F439B9" w:rsidRPr="00C1193B">
          <w:rPr>
            <w:rStyle w:val="Hyperlink"/>
            <w:noProof/>
            <w:lang w:eastAsia="en-US" w:bidi="ar-SA"/>
          </w:rPr>
          <w:t>Annexe A – Engagement de Niveau de Service pour la Détection et le Blocage de Virus, l’Efficacité du Filtre de Courriers Indésirables ou les Faux Positifs</w:t>
        </w:r>
        <w:r w:rsidR="00F439B9">
          <w:rPr>
            <w:noProof/>
            <w:webHidden/>
          </w:rPr>
          <w:tab/>
        </w:r>
        <w:r w:rsidR="00F439B9">
          <w:rPr>
            <w:noProof/>
            <w:webHidden/>
          </w:rPr>
          <w:fldChar w:fldCharType="begin"/>
        </w:r>
        <w:r w:rsidR="00F439B9">
          <w:rPr>
            <w:noProof/>
            <w:webHidden/>
          </w:rPr>
          <w:instrText xml:space="preserve"> PAGEREF _Toc416782702 \h </w:instrText>
        </w:r>
        <w:r w:rsidR="00F439B9">
          <w:rPr>
            <w:noProof/>
            <w:webHidden/>
          </w:rPr>
        </w:r>
        <w:r w:rsidR="00F439B9">
          <w:rPr>
            <w:noProof/>
            <w:webHidden/>
          </w:rPr>
          <w:fldChar w:fldCharType="separate"/>
        </w:r>
        <w:r w:rsidR="00F439B9">
          <w:rPr>
            <w:noProof/>
            <w:webHidden/>
          </w:rPr>
          <w:t>36</w:t>
        </w:r>
        <w:r w:rsidR="00F439B9">
          <w:rPr>
            <w:noProof/>
            <w:webHidden/>
          </w:rPr>
          <w:fldChar w:fldCharType="end"/>
        </w:r>
      </w:hyperlink>
    </w:p>
    <w:p w14:paraId="2E88FA94" w14:textId="77777777" w:rsidR="00F439B9" w:rsidRDefault="0036129B">
      <w:pPr>
        <w:pStyle w:val="TOC1"/>
        <w:tabs>
          <w:tab w:val="right" w:leader="dot" w:pos="5030"/>
        </w:tabs>
        <w:rPr>
          <w:rFonts w:eastAsiaTheme="minorEastAsia"/>
          <w:b w:val="0"/>
          <w:caps w:val="0"/>
          <w:noProof/>
          <w:sz w:val="22"/>
          <w:lang w:val="en-US" w:eastAsia="zh-CN" w:bidi="he-IL"/>
        </w:rPr>
      </w:pPr>
      <w:hyperlink w:anchor="_Toc416782703" w:history="1">
        <w:r w:rsidR="00F439B9" w:rsidRPr="00C1193B">
          <w:rPr>
            <w:rStyle w:val="Hyperlink"/>
            <w:noProof/>
            <w:lang w:eastAsia="en-US" w:bidi="ar-SA"/>
          </w:rPr>
          <w:t>Annexe B – Engagement de Niveau de Service pour le Temps de Disponibilité et la Remise du Courrier Électronique</w:t>
        </w:r>
        <w:r w:rsidR="00F439B9">
          <w:rPr>
            <w:noProof/>
            <w:webHidden/>
          </w:rPr>
          <w:tab/>
        </w:r>
        <w:r w:rsidR="00F439B9">
          <w:rPr>
            <w:noProof/>
            <w:webHidden/>
          </w:rPr>
          <w:fldChar w:fldCharType="begin"/>
        </w:r>
        <w:r w:rsidR="00F439B9">
          <w:rPr>
            <w:noProof/>
            <w:webHidden/>
          </w:rPr>
          <w:instrText xml:space="preserve"> PAGEREF _Toc416782703 \h </w:instrText>
        </w:r>
        <w:r w:rsidR="00F439B9">
          <w:rPr>
            <w:noProof/>
            <w:webHidden/>
          </w:rPr>
        </w:r>
        <w:r w:rsidR="00F439B9">
          <w:rPr>
            <w:noProof/>
            <w:webHidden/>
          </w:rPr>
          <w:fldChar w:fldCharType="separate"/>
        </w:r>
        <w:r w:rsidR="00F439B9">
          <w:rPr>
            <w:noProof/>
            <w:webHidden/>
          </w:rPr>
          <w:t>38</w:t>
        </w:r>
        <w:r w:rsidR="00F439B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2626"/>
      <w:bookmarkStart w:id="5" w:name="Introduction"/>
      <w:r>
        <w:t>Introduction</w:t>
      </w:r>
      <w:bookmarkEnd w:id="4"/>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6782627"/>
      <w:bookmarkEnd w:id="5"/>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6782628"/>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16782629"/>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39"/>
        <w:gridCol w:w="5343"/>
      </w:tblGrid>
      <w:tr w:rsidR="00F439B9" w:rsidRPr="0035123C" w14:paraId="7B3CFB25" w14:textId="77777777" w:rsidTr="00F10BD7">
        <w:trPr>
          <w:tblHeader/>
        </w:trPr>
        <w:tc>
          <w:tcPr>
            <w:tcW w:w="5395" w:type="dxa"/>
            <w:shd w:val="clear" w:color="auto" w:fill="0072C6"/>
          </w:tcPr>
          <w:p w14:paraId="031123D7" w14:textId="71175222" w:rsidR="00F439B9" w:rsidRPr="0035123C" w:rsidRDefault="00F439B9" w:rsidP="00F439B9">
            <w:pPr>
              <w:pStyle w:val="ProductList-OfferingBody"/>
            </w:pPr>
            <w:bookmarkStart w:id="9" w:name="_Toc413421537"/>
            <w:r>
              <w:rPr>
                <w:color w:val="FFFFFF" w:themeColor="background1"/>
              </w:rPr>
              <w:t>Ajouts</w:t>
            </w:r>
            <w:bookmarkEnd w:id="9"/>
          </w:p>
        </w:tc>
        <w:tc>
          <w:tcPr>
            <w:tcW w:w="5395" w:type="dxa"/>
            <w:shd w:val="clear" w:color="auto" w:fill="0072C6"/>
          </w:tcPr>
          <w:p w14:paraId="5C887D55" w14:textId="26B6D3CB" w:rsidR="00F439B9" w:rsidRPr="0035123C" w:rsidRDefault="00F439B9" w:rsidP="00F439B9">
            <w:pPr>
              <w:pStyle w:val="ProductList-OfferingBody"/>
            </w:pPr>
            <w:bookmarkStart w:id="10" w:name="_Toc413421538"/>
            <w:r>
              <w:rPr>
                <w:color w:val="FFFFFF" w:themeColor="background1"/>
              </w:rPr>
              <w:t>Suppressions</w:t>
            </w:r>
            <w:bookmarkEnd w:id="10"/>
          </w:p>
        </w:tc>
      </w:tr>
      <w:tr w:rsidR="00F439B9" w14:paraId="01A1BDC6" w14:textId="77777777" w:rsidTr="00047CD1">
        <w:trPr>
          <w:tblHeader/>
        </w:trPr>
        <w:tc>
          <w:tcPr>
            <w:tcW w:w="5395" w:type="dxa"/>
            <w:shd w:val="clear" w:color="auto" w:fill="auto"/>
          </w:tcPr>
          <w:p w14:paraId="6D7BAF67" w14:textId="327787A6" w:rsidR="00F439B9" w:rsidRDefault="00F439B9" w:rsidP="00F439B9">
            <w:pPr>
              <w:pStyle w:val="ProductList-OfferingBody"/>
            </w:pPr>
            <w:r>
              <w:t>Media Services – Canaux en Direct</w:t>
            </w:r>
          </w:p>
        </w:tc>
        <w:tc>
          <w:tcPr>
            <w:tcW w:w="5395" w:type="dxa"/>
            <w:shd w:val="clear" w:color="auto" w:fill="auto"/>
          </w:tcPr>
          <w:p w14:paraId="3D04F116" w14:textId="69154F22" w:rsidR="00F439B9" w:rsidRDefault="00F439B9" w:rsidP="00F439B9">
            <w:pPr>
              <w:pStyle w:val="ProductList-OfferingBody"/>
            </w:pPr>
          </w:p>
        </w:tc>
      </w:tr>
      <w:tr w:rsidR="00F439B9" w14:paraId="293284F0" w14:textId="77777777" w:rsidTr="00047CD1">
        <w:trPr>
          <w:tblHeader/>
        </w:trPr>
        <w:tc>
          <w:tcPr>
            <w:tcW w:w="5395" w:type="dxa"/>
            <w:shd w:val="clear" w:color="auto" w:fill="auto"/>
          </w:tcPr>
          <w:p w14:paraId="77C8EA0F" w14:textId="2E9BB436" w:rsidR="00F439B9" w:rsidRDefault="00F439B9" w:rsidP="00F439B9">
            <w:pPr>
              <w:pStyle w:val="ProductList-OfferingBody"/>
            </w:pPr>
            <w:r>
              <w:t>Stream Analytics – Appels d’API</w:t>
            </w:r>
          </w:p>
        </w:tc>
        <w:tc>
          <w:tcPr>
            <w:tcW w:w="5395" w:type="dxa"/>
            <w:shd w:val="clear" w:color="auto" w:fill="auto"/>
          </w:tcPr>
          <w:p w14:paraId="71C838A8" w14:textId="77777777" w:rsidR="00F439B9" w:rsidRDefault="00F439B9" w:rsidP="00F439B9">
            <w:pPr>
              <w:pStyle w:val="ProductList-OfferingBody"/>
            </w:pPr>
          </w:p>
        </w:tc>
      </w:tr>
      <w:tr w:rsidR="00F439B9" w14:paraId="4AC9294B" w14:textId="77777777" w:rsidTr="00047CD1">
        <w:trPr>
          <w:tblHeader/>
        </w:trPr>
        <w:tc>
          <w:tcPr>
            <w:tcW w:w="5395" w:type="dxa"/>
            <w:shd w:val="clear" w:color="auto" w:fill="auto"/>
          </w:tcPr>
          <w:p w14:paraId="1DC9DEDB" w14:textId="265D4B58" w:rsidR="00F439B9" w:rsidRDefault="00F439B9" w:rsidP="00F439B9">
            <w:pPr>
              <w:pStyle w:val="ProductList-OfferingBody"/>
            </w:pPr>
            <w:r>
              <w:t>Stream Analytics – Travaux</w:t>
            </w:r>
          </w:p>
        </w:tc>
        <w:tc>
          <w:tcPr>
            <w:tcW w:w="5395" w:type="dxa"/>
            <w:shd w:val="clear" w:color="auto" w:fill="auto"/>
          </w:tcPr>
          <w:p w14:paraId="64772B68" w14:textId="77777777" w:rsidR="00F439B9" w:rsidRDefault="00F439B9" w:rsidP="00F439B9">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56880C60" w14:textId="77777777" w:rsidR="00F439B9" w:rsidRDefault="0036129B" w:rsidP="00F439B9">
      <w:pPr>
        <w:pStyle w:val="ProductList-Body"/>
        <w:tabs>
          <w:tab w:val="clear" w:pos="360"/>
        </w:tabs>
      </w:pPr>
      <w:hyperlink r:id="rId19" w:anchor="MediaService_ContentProtectionService" w:history="1">
        <w:r w:rsidR="00F439B9">
          <w:rPr>
            <w:rStyle w:val="Hyperlink"/>
          </w:rPr>
          <w:t>Media Services – Service de Protection de Contenu</w:t>
        </w:r>
      </w:hyperlink>
      <w:r w:rsidR="00F439B9">
        <w:t> :</w:t>
      </w:r>
      <w:r w:rsidR="00F439B9">
        <w:rPr>
          <w:rStyle w:val="Hyperlink"/>
        </w:rPr>
        <w:t xml:space="preserve"> </w:t>
      </w:r>
      <w:r w:rsidR="00F439B9">
        <w:t>le terme « Demande de Clé Valide » a été ajouté comme Définition Supplémentaire.</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907C7D" w:rsidRDefault="00E11454" w:rsidP="002024BF">
      <w:pPr>
        <w:pStyle w:val="ProductList-SectionHeading"/>
        <w:tabs>
          <w:tab w:val="clear" w:pos="360"/>
          <w:tab w:val="clear" w:pos="720"/>
          <w:tab w:val="clear" w:pos="1080"/>
        </w:tabs>
        <w:outlineLvl w:val="0"/>
        <w:rPr>
          <w:lang w:val="en-US" w:eastAsia="en-US" w:bidi="ar-SA"/>
        </w:rPr>
      </w:pPr>
      <w:bookmarkStart w:id="11" w:name="_Toc416782630"/>
      <w:bookmarkStart w:id="12" w:name="GeneralTerms"/>
      <w:r w:rsidRPr="00907C7D">
        <w:rPr>
          <w:lang w:val="en-US" w:eastAsia="en-US" w:bidi="ar-SA"/>
        </w:rPr>
        <w:t>Conditions Générales</w:t>
      </w:r>
      <w:bookmarkEnd w:id="11"/>
    </w:p>
    <w:p w14:paraId="0BDF752D" w14:textId="5F0E96A9" w:rsidR="00045C64" w:rsidRPr="005A6CF1" w:rsidRDefault="00E11454" w:rsidP="001D1C2C">
      <w:pPr>
        <w:pStyle w:val="ProductList-OfferingGroupHeading"/>
        <w:rPr>
          <w:lang w:val="en-US" w:eastAsia="en-US" w:bidi="ar-SA"/>
        </w:rPr>
      </w:pPr>
      <w:bookmarkStart w:id="13" w:name="_Toc416782631"/>
      <w:bookmarkStart w:id="14" w:name="Definitions"/>
      <w:bookmarkEnd w:id="12"/>
      <w:r w:rsidRPr="00907C7D">
        <w:rPr>
          <w:lang w:val="en-US" w:eastAsia="en-US" w:bidi="ar-SA"/>
        </w:rPr>
        <w:t>Définitions</w:t>
      </w:r>
      <w:bookmarkEnd w:id="13"/>
    </w:p>
    <w:bookmarkEnd w:id="14"/>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5" w:name="_Toc416782632"/>
      <w:bookmarkStart w:id="16" w:name="Terms"/>
      <w:r w:rsidRPr="008E64FF">
        <w:rPr>
          <w:lang w:eastAsia="en-US" w:bidi="ar-SA"/>
        </w:rPr>
        <w:t>Conditions</w:t>
      </w:r>
      <w:bookmarkEnd w:id="15"/>
    </w:p>
    <w:bookmarkEnd w:id="16"/>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7" w:name="_Toc416782633"/>
      <w:bookmarkStart w:id="18" w:name="ServiceSpecificTerms"/>
      <w:r w:rsidRPr="008E64FF">
        <w:rPr>
          <w:lang w:eastAsia="en-US" w:bidi="ar-SA"/>
        </w:rPr>
        <w:t>Conditions Spécifiques des Services</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263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2635"/>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36129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36129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16782636"/>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16782637"/>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36129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36129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16782638"/>
      <w:r w:rsidRPr="008E64FF">
        <w:rPr>
          <w:lang w:eastAsia="en-US" w:bidi="ar-SA"/>
        </w:rPr>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3612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36129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16782639"/>
      <w:r w:rsidRPr="008E64FF">
        <w:rPr>
          <w:lang w:eastAsia="en-US" w:bidi="ar-SA"/>
        </w:rPr>
        <w:t>Exchange Online Archiving</w:t>
      </w:r>
      <w:bookmarkEnd w:id="24"/>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3612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3612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16782640"/>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3612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FB368F" w:rsidRDefault="00106C29"/>
    <w:p w14:paraId="3ED24468" w14:textId="014EDAE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69105A6D" w:rsidR="008C5EDB" w:rsidRPr="0076238C" w:rsidRDefault="008C5EDB" w:rsidP="003034CF">
            <w:pPr>
              <w:pStyle w:val="ProductList-OfferingBody"/>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3369EB2E" w:rsidR="008C5EDB" w:rsidRPr="0076238C" w:rsidRDefault="008C5EDB" w:rsidP="003034CF">
            <w:pPr>
              <w:pStyle w:val="ProductList-OfferingBody"/>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3612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16782641"/>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3612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3612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7" w:name="_Toc416782642"/>
      <w:r w:rsidRPr="005A6CF1">
        <w:rPr>
          <w:lang w:val="en-US" w:eastAsia="en-US" w:bidi="ar-SA"/>
        </w:rPr>
        <w:t>Office 365 ProPlus</w:t>
      </w:r>
      <w:bookmarkEnd w:id="27"/>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3612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3612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C13D4">
      <w:pPr>
        <w:pStyle w:val="ProductList-Offering2Heading"/>
        <w:rPr>
          <w:lang w:val="en-US" w:eastAsia="en-US" w:bidi="ar-SA"/>
        </w:rPr>
      </w:pPr>
      <w:bookmarkStart w:id="28" w:name="_Toc416782643"/>
      <w:r w:rsidRPr="005A6CF1">
        <w:rPr>
          <w:lang w:val="en-US" w:eastAsia="en-US" w:bidi="ar-SA"/>
        </w:rPr>
        <w:t>Office Online</w:t>
      </w:r>
      <w:bookmarkEnd w:id="28"/>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3612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3612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29" w:name="_Toc416782644"/>
      <w:r w:rsidRPr="005A6CF1">
        <w:rPr>
          <w:lang w:val="en-US" w:eastAsia="en-US" w:bidi="ar-SA"/>
        </w:rPr>
        <w:t>Office 365 Video</w:t>
      </w:r>
      <w:bookmarkEnd w:id="29"/>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3612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3612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0" w:name="_Toc416782645"/>
      <w:r w:rsidRPr="005A6CF1">
        <w:rPr>
          <w:lang w:val="en-US" w:eastAsia="en-US" w:bidi="ar-SA"/>
        </w:rPr>
        <w:t>OneDrive Entreprise</w:t>
      </w:r>
      <w:bookmarkEnd w:id="30"/>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3612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3612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1" w:name="_Toc416782646"/>
      <w:r w:rsidRPr="002D3FF9">
        <w:rPr>
          <w:lang w:eastAsia="en-US" w:bidi="ar-SA"/>
        </w:rPr>
        <w:t>Project Online</w:t>
      </w:r>
      <w:bookmarkEnd w:id="31"/>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2" w:name="_Toc416782647"/>
      <w:r w:rsidRPr="005A6CF1">
        <w:rPr>
          <w:lang w:val="en-US" w:eastAsia="en-US" w:bidi="ar-SA"/>
        </w:rPr>
        <w:t>SharePoint Online</w:t>
      </w:r>
      <w:bookmarkEnd w:id="32"/>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3" w:name="_Toc416782648"/>
      <w:r w:rsidRPr="002D3FF9">
        <w:rPr>
          <w:lang w:eastAsia="en-US" w:bidi="ar-SA"/>
        </w:rPr>
        <w:t>Skype Entreprise Online</w:t>
      </w:r>
      <w:bookmarkEnd w:id="33"/>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3354E3">
            <w:pPr>
              <w:pStyle w:val="ProductList-OfferingBody"/>
              <w:keepNext/>
              <w:jc w:val="center"/>
            </w:pPr>
            <w:r>
              <w:t>&lt; 99,9 %</w:t>
            </w:r>
          </w:p>
        </w:tc>
        <w:tc>
          <w:tcPr>
            <w:tcW w:w="5400" w:type="dxa"/>
          </w:tcPr>
          <w:p w14:paraId="54D34AC2" w14:textId="6E5326BD" w:rsidR="00C86427" w:rsidRPr="0076238C" w:rsidRDefault="00C86427" w:rsidP="003354E3">
            <w:pPr>
              <w:pStyle w:val="ProductList-OfferingBody"/>
              <w:keepNext/>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3354E3">
            <w:pPr>
              <w:pStyle w:val="ProductList-OfferingBody"/>
              <w:keepNext/>
              <w:jc w:val="center"/>
            </w:pPr>
            <w:r>
              <w:t>&lt; 99 %</w:t>
            </w:r>
          </w:p>
        </w:tc>
        <w:tc>
          <w:tcPr>
            <w:tcW w:w="5400" w:type="dxa"/>
          </w:tcPr>
          <w:p w14:paraId="7B4B8F49" w14:textId="070215C7" w:rsidR="00C86427" w:rsidRPr="0076238C" w:rsidRDefault="00C86427" w:rsidP="003354E3">
            <w:pPr>
              <w:pStyle w:val="ProductList-OfferingBody"/>
              <w:keepNext/>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4" w:name="_Toc416782649"/>
      <w:r w:rsidRPr="008E64FF">
        <w:rPr>
          <w:lang w:eastAsia="en-US" w:bidi="ar-SA"/>
        </w:rPr>
        <w:t>Yammer Enterprise</w:t>
      </w:r>
      <w:bookmarkEnd w:id="34"/>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5" w:name="_Toc416782650"/>
      <w:r w:rsidRPr="005A6CF1">
        <w:rPr>
          <w:lang w:val="en-US" w:eastAsia="en-US" w:bidi="ar-SA"/>
        </w:rPr>
        <w:t>Enterprise Mobility Services</w:t>
      </w:r>
      <w:bookmarkEnd w:id="35"/>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6" w:name="_Toc416782651"/>
      <w:r w:rsidRPr="005A6CF1">
        <w:rPr>
          <w:lang w:val="en-US" w:eastAsia="en-US" w:bidi="ar-SA"/>
        </w:rPr>
        <w:t>Azure Active Directory Basic</w:t>
      </w:r>
      <w:bookmarkEnd w:id="36"/>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16782652"/>
      <w:r w:rsidRPr="005A6CF1">
        <w:rPr>
          <w:lang w:val="en-US" w:eastAsia="en-US" w:bidi="ar-SA"/>
        </w:rPr>
        <w:t>Azure Active Directory Premium</w:t>
      </w:r>
      <w:bookmarkEnd w:id="37"/>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16782653"/>
      <w:r w:rsidRPr="005A6CF1">
        <w:rPr>
          <w:lang w:val="en-US" w:eastAsia="en-US" w:bidi="ar-SA"/>
        </w:rPr>
        <w:t>Azure Rights Management</w:t>
      </w:r>
      <w:bookmarkEnd w:id="38"/>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16782654"/>
      <w:r w:rsidRPr="005A6CF1">
        <w:rPr>
          <w:lang w:val="en-US" w:eastAsia="en-US" w:bidi="ar-SA"/>
        </w:rPr>
        <w:t>Microsoft Intune</w:t>
      </w:r>
      <w:bookmarkEnd w:id="3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3612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3612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0" w:name="_Toc416782655"/>
      <w:r w:rsidRPr="008E64FF">
        <w:rPr>
          <w:lang w:eastAsia="en-US" w:bidi="ar-SA"/>
        </w:rPr>
        <w:t>Services Microsoft Azure</w:t>
      </w:r>
      <w:bookmarkEnd w:id="40"/>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1" w:name="_Toc416782656"/>
      <w:r w:rsidRPr="008E64FF">
        <w:rPr>
          <w:lang w:eastAsia="en-US" w:bidi="ar-SA"/>
        </w:rPr>
        <w:t>Services de Gestion des API</w:t>
      </w:r>
      <w:bookmarkEnd w:id="41"/>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138B308A" w14:textId="1C175890" w:rsidR="000D29F0" w:rsidRPr="00FB368F" w:rsidRDefault="00DA6241"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D1D6C7" w14:textId="77777777" w:rsidR="000D29F0" w:rsidRPr="00FB368F" w:rsidRDefault="000D29F0" w:rsidP="000D29F0">
      <w:pPr>
        <w:pStyle w:val="ProductList-Body"/>
      </w:pPr>
    </w:p>
    <w:p w14:paraId="5629766B" w14:textId="5EC173BD" w:rsidR="000D29F0" w:rsidRPr="00FB368F" w:rsidRDefault="0036129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BC6686" w14:textId="77777777" w:rsidR="00DA6241" w:rsidRPr="00FB368F" w:rsidRDefault="00DA6241" w:rsidP="00DA6241">
      <w:pPr>
        <w:pStyle w:val="ProductList-Body"/>
      </w:pPr>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3612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2" w:name="_Toc416782657"/>
      <w:r w:rsidRPr="005A6CF1">
        <w:rPr>
          <w:lang w:val="en-US" w:eastAsia="en-US" w:bidi="ar-SA"/>
        </w:rPr>
        <w:t>Service Automation</w:t>
      </w:r>
      <w:bookmarkEnd w:id="42"/>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36129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64FF5D01" w14:textId="77777777" w:rsidR="00DA6241" w:rsidRPr="00FB368F" w:rsidRDefault="00DA6241" w:rsidP="00DA6241">
      <w:pPr>
        <w:pStyle w:val="ProductList-Body"/>
      </w:pPr>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3612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3" w:name="_Toc416782658"/>
      <w:r w:rsidRPr="005A6CF1">
        <w:rPr>
          <w:lang w:val="en-US" w:eastAsia="en-US" w:bidi="ar-SA"/>
        </w:rPr>
        <w:t>Service Backup</w:t>
      </w:r>
      <w:bookmarkEnd w:id="43"/>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3612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3612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44" w:name="_Toc416782659"/>
      <w:r w:rsidRPr="005A6CF1">
        <w:rPr>
          <w:lang w:val="en-US" w:eastAsia="en-US" w:bidi="ar-SA"/>
        </w:rPr>
        <w:t>Services BizTalk</w:t>
      </w:r>
      <w:bookmarkEnd w:id="44"/>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3612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36129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45" w:name="_Toc416782660"/>
      <w:r w:rsidRPr="008E64FF">
        <w:rPr>
          <w:lang w:eastAsia="en-US" w:bidi="ar-SA"/>
        </w:rPr>
        <w:t>Services de Cache</w:t>
      </w:r>
      <w:bookmarkEnd w:id="45"/>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3612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36129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46" w:name="_Toc416782661"/>
      <w:r w:rsidRPr="008E64FF">
        <w:rPr>
          <w:lang w:eastAsia="en-US" w:bidi="ar-SA"/>
        </w:rPr>
        <w:t>Service CDN</w:t>
      </w:r>
      <w:bookmarkEnd w:id="46"/>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A24E0">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0B6624D9" w:rsidR="007A24E0" w:rsidRPr="0076238C" w:rsidRDefault="007A24E0" w:rsidP="00124F73">
            <w:pPr>
              <w:pStyle w:val="ProductList-OfferingBody"/>
              <w:jc w:val="center"/>
            </w:pPr>
            <w:r>
              <w:t>10</w:t>
            </w:r>
            <w:r w:rsidR="00267602">
              <w:t xml:space="preserve"> </w:t>
            </w:r>
            <w:r>
              <w:t>%</w:t>
            </w:r>
          </w:p>
        </w:tc>
      </w:tr>
      <w:tr w:rsidR="007A24E0" w:rsidRPr="009D0B2F" w14:paraId="61E1A424" w14:textId="77777777" w:rsidTr="004D18F6">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36129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47" w:name="_Toc416782662"/>
      <w:r w:rsidRPr="005A6CF1">
        <w:rPr>
          <w:lang w:val="en-US" w:eastAsia="en-US" w:bidi="ar-SA"/>
        </w:rPr>
        <w:t>Services de Cloud</w:t>
      </w:r>
      <w:bookmarkEnd w:id="47"/>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36129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36129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48" w:name="_Toc416782663"/>
      <w:r w:rsidRPr="005A6CF1">
        <w:rPr>
          <w:lang w:val="en-US" w:eastAsia="en-US" w:bidi="ar-SA"/>
        </w:rPr>
        <w:t>DocumentDB</w:t>
      </w:r>
      <w:bookmarkEnd w:id="48"/>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36129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49" w:name="_Toc416782664"/>
      <w:r w:rsidRPr="005A6CF1">
        <w:rPr>
          <w:lang w:val="en-US" w:eastAsia="en-US" w:bidi="ar-SA"/>
        </w:rPr>
        <w:t>ExpressRoute</w:t>
      </w:r>
      <w:bookmarkEnd w:id="49"/>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02E4B94B" w14:textId="3D446FDD" w:rsidR="003F4EE4" w:rsidRPr="00FB368F" w:rsidRDefault="003F4EE4" w:rsidP="003F4EE4">
      <w:pPr>
        <w:pStyle w:val="ProductList-Body"/>
      </w:pPr>
      <w:r>
        <w:t>« </w:t>
      </w:r>
      <w:r>
        <w:rPr>
          <w:b/>
          <w:color w:val="00188F"/>
        </w:rPr>
        <w:t>Passerelle de Réseau Virtuel</w:t>
      </w:r>
      <w:r>
        <w:t> » désigne une passerelle qui facilite la connectivité sur plusieurs sites entre un Réseau Virtuel et un réseau client sur</w:t>
      </w:r>
      <w:r w:rsidR="00A3437F">
        <w:t> </w:t>
      </w:r>
      <w:r>
        <w:t>site.</w:t>
      </w:r>
    </w:p>
    <w:p w14:paraId="64694CB6" w14:textId="77777777" w:rsidR="003F4EE4" w:rsidRPr="00FB368F" w:rsidRDefault="003F4EE4" w:rsidP="003F4EE4">
      <w:pPr>
        <w:pStyle w:val="ProductList-Body"/>
      </w:pPr>
    </w:p>
    <w:p w14:paraId="1BA5158A" w14:textId="05DFDCAF" w:rsidR="003F4EE4" w:rsidRPr="00FB368F" w:rsidRDefault="003F4EE4" w:rsidP="003F4EE4">
      <w:pPr>
        <w:pStyle w:val="ProductList-Body"/>
      </w:pPr>
      <w:r>
        <w:rPr>
          <w:b/>
          <w:color w:val="00188F"/>
        </w:rPr>
        <w:t>Temps d’Indisponibilité</w:t>
      </w:r>
      <w:r>
        <w:t> </w:t>
      </w:r>
      <w:r w:rsidRPr="0015352A">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de Réseau Virtuel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36129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36129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50" w:name="_Toc416782665"/>
      <w:r w:rsidRPr="008E64FF">
        <w:rPr>
          <w:lang w:eastAsia="en-US" w:bidi="ar-SA"/>
        </w:rPr>
        <w:t>HDInsight</w:t>
      </w:r>
      <w:bookmarkEnd w:id="50"/>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36129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0D29F0">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36129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F72638" w14:textId="4E9141C2" w:rsidR="000D29F0" w:rsidRPr="008E64FF" w:rsidRDefault="000D29F0" w:rsidP="000D29F0">
      <w:pPr>
        <w:pStyle w:val="ProductList-Offering2Heading"/>
        <w:tabs>
          <w:tab w:val="clear" w:pos="360"/>
          <w:tab w:val="clear" w:pos="720"/>
          <w:tab w:val="clear" w:pos="1080"/>
        </w:tabs>
        <w:outlineLvl w:val="2"/>
        <w:rPr>
          <w:sz w:val="24"/>
          <w:szCs w:val="24"/>
          <w:lang w:eastAsia="en-US" w:bidi="ar-SA"/>
        </w:rPr>
      </w:pPr>
      <w:bookmarkStart w:id="51" w:name="_Toc412532194"/>
      <w:bookmarkStart w:id="52" w:name="_Toc416782666"/>
      <w:r w:rsidRPr="008E64FF">
        <w:rPr>
          <w:sz w:val="24"/>
          <w:szCs w:val="24"/>
          <w:lang w:eastAsia="en-US" w:bidi="ar-SA"/>
        </w:rPr>
        <w:t>Machine Learning – Service d’Exécution de Lot (BES) et Service d’API de Gestion</w:t>
      </w:r>
      <w:bookmarkEnd w:id="51"/>
      <w:bookmarkEnd w:id="52"/>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36129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E6F2802" w14:textId="77777777" w:rsidR="00ED28C8" w:rsidRPr="00ED28C8" w:rsidRDefault="00ED28C8" w:rsidP="000D29F0">
      <w:pPr>
        <w:pStyle w:val="ProductList-Body"/>
        <w:rPr>
          <w:sz w:val="16"/>
          <w:szCs w:val="16"/>
        </w:rPr>
      </w:pPr>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3612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53" w:name="_Toc416782667"/>
      <w:r w:rsidRPr="008E64FF">
        <w:rPr>
          <w:sz w:val="24"/>
          <w:szCs w:val="24"/>
          <w:lang w:eastAsia="en-US" w:bidi="ar-SA"/>
        </w:rPr>
        <w:t>Machine Learning – Service de Requête-Réponse (RRS)</w:t>
      </w:r>
      <w:bookmarkEnd w:id="53"/>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3612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3612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18859A" w14:textId="4E898CFA"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54" w:name="_Toc416782668"/>
      <w:r w:rsidRPr="008E64FF">
        <w:rPr>
          <w:sz w:val="24"/>
          <w:szCs w:val="24"/>
          <w:lang w:eastAsia="en-US" w:bidi="ar-SA"/>
        </w:rPr>
        <w:t>Media Services – Service d’Encodage</w:t>
      </w:r>
      <w:bookmarkEnd w:id="54"/>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3612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3612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5A6CF1" w:rsidRDefault="00731669" w:rsidP="00731669">
      <w:pPr>
        <w:pStyle w:val="ProductList-Offering2Heading"/>
        <w:tabs>
          <w:tab w:val="clear" w:pos="360"/>
          <w:tab w:val="clear" w:pos="720"/>
          <w:tab w:val="clear" w:pos="1080"/>
        </w:tabs>
        <w:outlineLvl w:val="2"/>
        <w:rPr>
          <w:sz w:val="24"/>
          <w:szCs w:val="24"/>
          <w:lang w:val="en-US" w:eastAsia="en-US" w:bidi="ar-SA"/>
        </w:rPr>
      </w:pPr>
      <w:bookmarkStart w:id="55" w:name="_Toc416782669"/>
      <w:r w:rsidRPr="005A6CF1">
        <w:rPr>
          <w:sz w:val="24"/>
          <w:szCs w:val="24"/>
          <w:lang w:val="en-US" w:eastAsia="en-US" w:bidi="ar-SA"/>
        </w:rPr>
        <w:t>Media Services – Service d’Indexation</w:t>
      </w:r>
      <w:bookmarkEnd w:id="55"/>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36129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36129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Default="003354E3" w:rsidP="003354E3">
      <w:pPr>
        <w:pStyle w:val="ProductList-Offering2Heading"/>
        <w:tabs>
          <w:tab w:val="clear" w:pos="360"/>
        </w:tabs>
        <w:outlineLvl w:val="2"/>
      </w:pPr>
      <w:bookmarkStart w:id="56" w:name="_Toc413757510"/>
      <w:bookmarkStart w:id="57" w:name="_Toc416782670"/>
      <w:r>
        <w:rPr>
          <w:sz w:val="24"/>
          <w:szCs w:val="24"/>
        </w:rPr>
        <w:t>Media Services – Canaux en Direct</w:t>
      </w:r>
      <w:bookmarkEnd w:id="56"/>
      <w:bookmarkEnd w:id="57"/>
    </w:p>
    <w:p w14:paraId="7AE27FEE" w14:textId="77777777" w:rsidR="003354E3" w:rsidRDefault="003354E3" w:rsidP="003354E3">
      <w:pPr>
        <w:pStyle w:val="ProductList-Body"/>
      </w:pPr>
      <w:bookmarkStart w:id="58" w:name="Définitions"/>
      <w:r>
        <w:rPr>
          <w:b/>
          <w:color w:val="00188F"/>
        </w:rPr>
        <w:t xml:space="preserve">Définitions </w:t>
      </w:r>
      <w:bookmarkEnd w:id="58"/>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36129B"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36129B" w:rsidP="003354E3">
      <w:pPr>
        <w:pStyle w:val="ProductList-Body"/>
        <w:shd w:val="clear" w:color="auto" w:fill="808080" w:themeFill="background1" w:themeFillShade="80"/>
        <w:tabs>
          <w:tab w:val="clear" w:pos="360"/>
        </w:tabs>
        <w:spacing w:before="120" w:after="240"/>
        <w:jc w:val="right"/>
      </w:pPr>
      <w:hyperlink r:id="rId24" w:anchor="TOC" w:history="1">
        <w:r w:rsidR="003354E3">
          <w:rPr>
            <w:rStyle w:val="Hyperlink"/>
            <w:sz w:val="16"/>
            <w:szCs w:val="16"/>
          </w:rPr>
          <w:t>Table des matières</w:t>
        </w:r>
      </w:hyperlink>
      <w:r w:rsidR="003354E3">
        <w:rPr>
          <w:sz w:val="16"/>
          <w:szCs w:val="16"/>
        </w:rPr>
        <w:t xml:space="preserve"> / </w:t>
      </w:r>
      <w:hyperlink r:id="rId25" w:anchor="Définitions" w:history="1">
        <w:r w:rsidR="003354E3">
          <w:rPr>
            <w:rStyle w:val="Hyperlink"/>
            <w:sz w:val="16"/>
            <w:szCs w:val="16"/>
          </w:rPr>
          <w:t>Définitions</w:t>
        </w:r>
      </w:hyperlink>
    </w:p>
    <w:p w14:paraId="34ACAFAF" w14:textId="007759A0" w:rsidR="008E5959" w:rsidRPr="005A6CF1" w:rsidRDefault="008E5959" w:rsidP="008E5959">
      <w:pPr>
        <w:pStyle w:val="ProductList-Offering2Heading"/>
        <w:tabs>
          <w:tab w:val="clear" w:pos="360"/>
          <w:tab w:val="clear" w:pos="720"/>
          <w:tab w:val="clear" w:pos="1080"/>
        </w:tabs>
        <w:outlineLvl w:val="2"/>
        <w:rPr>
          <w:sz w:val="24"/>
          <w:szCs w:val="24"/>
          <w:lang w:val="en-US" w:eastAsia="en-US" w:bidi="ar-SA"/>
        </w:rPr>
      </w:pPr>
      <w:bookmarkStart w:id="59" w:name="_Toc416782671"/>
      <w:r w:rsidRPr="005A6CF1">
        <w:rPr>
          <w:sz w:val="24"/>
          <w:szCs w:val="24"/>
          <w:lang w:val="en-US" w:eastAsia="en-US" w:bidi="ar-SA"/>
        </w:rPr>
        <w:t>Media Services – Service de Diffusion</w:t>
      </w:r>
      <w:bookmarkEnd w:id="59"/>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3612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3612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85A1C" w14:textId="2C54C5AB"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60" w:name="_Toc416782672"/>
      <w:r w:rsidRPr="008E64FF">
        <w:rPr>
          <w:sz w:val="24"/>
          <w:szCs w:val="24"/>
          <w:lang w:eastAsia="en-US" w:bidi="ar-SA"/>
        </w:rPr>
        <w:t>Media Services - Service de Protection de Contenu</w:t>
      </w:r>
      <w:bookmarkEnd w:id="60"/>
    </w:p>
    <w:p w14:paraId="4845AB0E"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4E73BDB9" w14:textId="77777777" w:rsidR="008E5959" w:rsidRPr="00FB368F" w:rsidRDefault="008E5959"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4825CFDD" w14:textId="494233BB" w:rsidR="008E5959" w:rsidRPr="00FB368F" w:rsidRDefault="008E5959" w:rsidP="008E595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C75864" w14:textId="77777777" w:rsidR="008E5959" w:rsidRPr="00FB368F" w:rsidRDefault="008E5959" w:rsidP="008E5959">
      <w:pPr>
        <w:pStyle w:val="ProductList-Body"/>
      </w:pPr>
    </w:p>
    <w:p w14:paraId="6DA41C83" w14:textId="00AFF2AC"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BE6B584" w14:textId="77777777" w:rsidR="008E5959" w:rsidRPr="00FB368F" w:rsidRDefault="008E5959" w:rsidP="008E5959">
      <w:pPr>
        <w:pStyle w:val="ProductList-Body"/>
      </w:pPr>
    </w:p>
    <w:p w14:paraId="6CCE6064" w14:textId="27FCCB41" w:rsidR="008E5959" w:rsidRPr="00FB368F" w:rsidRDefault="003612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454DB8E" w14:textId="297E023C"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E07C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0EB1D556" w14:textId="77777777" w:rsidTr="00BE07C4">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295D17A7" w:rsidR="008E5959" w:rsidRPr="0076238C" w:rsidRDefault="008E5959" w:rsidP="00124F73">
            <w:pPr>
              <w:pStyle w:val="ProductList-OfferingBody"/>
              <w:jc w:val="center"/>
            </w:pPr>
            <w:r>
              <w:t>10</w:t>
            </w:r>
            <w:r w:rsidR="00926D52">
              <w:t xml:space="preserve"> </w:t>
            </w:r>
            <w:r>
              <w:t>%</w:t>
            </w:r>
          </w:p>
        </w:tc>
      </w:tr>
      <w:tr w:rsidR="008E5959" w:rsidRPr="009D0B2F" w14:paraId="74E72C7F" w14:textId="77777777" w:rsidTr="00BE07C4">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36129F9" w:rsidR="008E5959" w:rsidRPr="0076238C" w:rsidRDefault="008E5959" w:rsidP="00124F73">
            <w:pPr>
              <w:pStyle w:val="ProductList-OfferingBody"/>
              <w:jc w:val="center"/>
            </w:pPr>
            <w:r>
              <w:t>25</w:t>
            </w:r>
            <w:r w:rsidR="00926D52">
              <w:t xml:space="preserve"> </w:t>
            </w:r>
            <w:r>
              <w:t>%</w:t>
            </w:r>
          </w:p>
        </w:tc>
      </w:tr>
    </w:tbl>
    <w:p w14:paraId="3F151E56" w14:textId="653EE99F" w:rsidR="007F3377" w:rsidRPr="00FB368F" w:rsidRDefault="0036129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839ABA0" w14:textId="7D1E9BE1" w:rsidR="007F3377" w:rsidRPr="005A6CF1" w:rsidRDefault="007F3377" w:rsidP="007F3377">
      <w:pPr>
        <w:pStyle w:val="ProductList-Offering2Heading"/>
        <w:tabs>
          <w:tab w:val="clear" w:pos="360"/>
          <w:tab w:val="clear" w:pos="720"/>
          <w:tab w:val="clear" w:pos="1080"/>
        </w:tabs>
        <w:outlineLvl w:val="2"/>
        <w:rPr>
          <w:sz w:val="24"/>
          <w:szCs w:val="24"/>
          <w:lang w:val="en-US" w:eastAsia="en-US" w:bidi="ar-SA"/>
        </w:rPr>
      </w:pPr>
      <w:bookmarkStart w:id="61" w:name="_Toc416782673"/>
      <w:r w:rsidRPr="005A6CF1">
        <w:rPr>
          <w:sz w:val="24"/>
          <w:szCs w:val="24"/>
          <w:lang w:val="en-US" w:eastAsia="en-US" w:bidi="ar-SA"/>
        </w:rPr>
        <w:t>Mobile Services</w:t>
      </w:r>
      <w:bookmarkEnd w:id="61"/>
    </w:p>
    <w:p w14:paraId="4779DF8F" w14:textId="77777777" w:rsidR="007F3377" w:rsidRPr="00FB368F" w:rsidRDefault="007F3377" w:rsidP="007F3377">
      <w:pPr>
        <w:pStyle w:val="ProductList-Body"/>
      </w:pPr>
      <w:r>
        <w:rPr>
          <w:b/>
          <w:color w:val="00188F"/>
        </w:rPr>
        <w:t>Définitions Supplémentaires</w:t>
      </w:r>
      <w:r>
        <w:t> </w:t>
      </w:r>
      <w:r w:rsidRPr="0015352A">
        <w:rPr>
          <w:b/>
          <w:color w:val="00188F"/>
        </w:rPr>
        <w:t>:</w:t>
      </w:r>
    </w:p>
    <w:p w14:paraId="298240E6" w14:textId="77777777" w:rsidR="007F3377" w:rsidRPr="00FB368F" w:rsidRDefault="007F3377"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05008A21" w14:textId="77777777" w:rsidR="007F3377" w:rsidRDefault="007F3377" w:rsidP="007F3377">
      <w:pPr>
        <w:pStyle w:val="ProductList-Body"/>
      </w:pPr>
      <w:r>
        <w:t>« </w:t>
      </w:r>
      <w:r>
        <w:rPr>
          <w:b/>
          <w:color w:val="00188F"/>
        </w:rPr>
        <w:t>Total des Tentatives de Transaction</w:t>
      </w:r>
      <w:r>
        <w:t> » désigne toutes les Demandes de Clé Valides que vous émettez au cours d’un mois de facturation d’un abonnement Azure donné.</w:t>
      </w:r>
    </w:p>
    <w:p w14:paraId="155A989B" w14:textId="7EAEED46" w:rsidR="00F439B9" w:rsidRPr="00FB368F" w:rsidRDefault="00F439B9" w:rsidP="00F439B9">
      <w:pPr>
        <w:pStyle w:val="ProductList-Body"/>
      </w:pPr>
      <w:r>
        <w:t>« </w:t>
      </w:r>
      <w:r>
        <w:rPr>
          <w:b/>
          <w:color w:val="00188F"/>
        </w:rPr>
        <w:t>Demandes de Clé Valides</w:t>
      </w:r>
      <w:r>
        <w:t> » désigne toutes les demandes de clés de contenu existant faites au Service Content Protection dans un Media Service du Client.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36129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10D5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F10D52">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F10D52">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3612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8E64FF"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2532201"/>
      <w:bookmarkStart w:id="63" w:name="_Toc416782674"/>
      <w:r w:rsidRPr="008E64FF">
        <w:rPr>
          <w:sz w:val="24"/>
          <w:szCs w:val="24"/>
          <w:lang w:eastAsia="en-US" w:bidi="ar-SA"/>
        </w:rPr>
        <w:t>Service Multi-Factor Authentication</w:t>
      </w:r>
      <w:bookmarkEnd w:id="62"/>
      <w:bookmarkEnd w:id="63"/>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3612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5A6CF1" w:rsidRDefault="00ED14D9" w:rsidP="00ED14D9">
      <w:pPr>
        <w:pStyle w:val="ProductList-Offering2Heading"/>
        <w:tabs>
          <w:tab w:val="clear" w:pos="360"/>
          <w:tab w:val="clear" w:pos="720"/>
          <w:tab w:val="clear" w:pos="1080"/>
        </w:tabs>
        <w:outlineLvl w:val="2"/>
        <w:rPr>
          <w:sz w:val="24"/>
          <w:szCs w:val="24"/>
          <w:lang w:val="en-US" w:eastAsia="en-US" w:bidi="ar-SA"/>
        </w:rPr>
      </w:pPr>
      <w:bookmarkStart w:id="64" w:name="_Toc416782675"/>
      <w:r w:rsidRPr="005A6CF1">
        <w:rPr>
          <w:sz w:val="24"/>
          <w:szCs w:val="24"/>
          <w:lang w:val="en-US" w:eastAsia="en-US" w:bidi="ar-SA"/>
        </w:rPr>
        <w:t>RemoteApp</w:t>
      </w:r>
      <w:bookmarkEnd w:id="64"/>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3612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8E64FF" w:rsidRDefault="00C513D8" w:rsidP="00C513D8">
      <w:pPr>
        <w:pStyle w:val="ProductList-Offering2Heading"/>
        <w:tabs>
          <w:tab w:val="clear" w:pos="360"/>
          <w:tab w:val="clear" w:pos="720"/>
          <w:tab w:val="clear" w:pos="1080"/>
        </w:tabs>
        <w:outlineLvl w:val="2"/>
        <w:rPr>
          <w:sz w:val="24"/>
          <w:szCs w:val="24"/>
          <w:lang w:eastAsia="en-US" w:bidi="ar-SA"/>
        </w:rPr>
      </w:pPr>
      <w:bookmarkStart w:id="65" w:name="_Toc416782676"/>
      <w:r w:rsidRPr="008E64FF">
        <w:rPr>
          <w:sz w:val="24"/>
          <w:szCs w:val="24"/>
          <w:lang w:eastAsia="en-US" w:bidi="ar-SA"/>
        </w:rPr>
        <w:t>Scheduler</w:t>
      </w:r>
      <w:bookmarkEnd w:id="65"/>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36129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5A6CF1" w:rsidRDefault="00E81D86" w:rsidP="00E81D86">
      <w:pPr>
        <w:pStyle w:val="ProductList-Offering2Heading"/>
        <w:tabs>
          <w:tab w:val="clear" w:pos="360"/>
          <w:tab w:val="clear" w:pos="720"/>
          <w:tab w:val="clear" w:pos="1080"/>
        </w:tabs>
        <w:outlineLvl w:val="2"/>
        <w:rPr>
          <w:sz w:val="24"/>
          <w:szCs w:val="24"/>
          <w:lang w:val="en-US" w:eastAsia="en-US" w:bidi="ar-SA"/>
        </w:rPr>
      </w:pPr>
      <w:bookmarkStart w:id="66" w:name="_Toc416782677"/>
      <w:r w:rsidRPr="005A6CF1">
        <w:rPr>
          <w:sz w:val="24"/>
          <w:szCs w:val="24"/>
          <w:lang w:val="en-US" w:eastAsia="en-US" w:bidi="ar-SA"/>
        </w:rPr>
        <w:t>Search</w:t>
      </w:r>
      <w:bookmarkEnd w:id="66"/>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36129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3586AF" w14:textId="1F8676A9" w:rsidR="00662D1B" w:rsidRPr="008E64FF" w:rsidRDefault="00662D1B" w:rsidP="00662D1B">
      <w:pPr>
        <w:pStyle w:val="ProductList-Offering2Heading"/>
        <w:tabs>
          <w:tab w:val="clear" w:pos="360"/>
          <w:tab w:val="clear" w:pos="720"/>
          <w:tab w:val="clear" w:pos="1080"/>
        </w:tabs>
        <w:outlineLvl w:val="2"/>
        <w:rPr>
          <w:sz w:val="24"/>
          <w:szCs w:val="24"/>
          <w:lang w:eastAsia="en-US" w:bidi="ar-SA"/>
        </w:rPr>
      </w:pPr>
      <w:bookmarkStart w:id="67" w:name="_Toc416782678"/>
      <w:r w:rsidRPr="008E64FF">
        <w:rPr>
          <w:sz w:val="24"/>
          <w:szCs w:val="24"/>
          <w:lang w:eastAsia="en-US" w:bidi="ar-SA"/>
        </w:rPr>
        <w:t>Service Service-Bus – Relais</w:t>
      </w:r>
      <w:bookmarkEnd w:id="67"/>
    </w:p>
    <w:p w14:paraId="7D7C9EB8" w14:textId="77777777" w:rsidR="00662D1B" w:rsidRPr="00FB368F" w:rsidRDefault="00662D1B" w:rsidP="00662D1B">
      <w:pPr>
        <w:pStyle w:val="ProductList-Body"/>
      </w:pPr>
      <w:r>
        <w:rPr>
          <w:b/>
          <w:color w:val="00188F"/>
        </w:rPr>
        <w:t>Définitions Supplémentaires</w:t>
      </w:r>
      <w:r>
        <w:t> </w:t>
      </w:r>
      <w:r w:rsidRPr="0015352A">
        <w:rPr>
          <w:b/>
          <w:color w:val="00188F"/>
        </w:rPr>
        <w:t>:</w:t>
      </w:r>
    </w:p>
    <w:p w14:paraId="1D7C066E" w14:textId="567E64DF" w:rsidR="00662D1B" w:rsidRPr="00FB368F" w:rsidRDefault="00662D1B" w:rsidP="00662D1B">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3A0F6C6C" w14:textId="5BC9D968" w:rsidR="00662D1B" w:rsidRPr="00FB368F" w:rsidRDefault="00662D1B" w:rsidP="007910ED">
      <w:pPr>
        <w:pStyle w:val="ProductList-Body"/>
      </w:pPr>
      <w:r>
        <w:t>« </w:t>
      </w:r>
      <w:r>
        <w:rPr>
          <w:b/>
          <w:color w:val="00188F"/>
        </w:rPr>
        <w:t>Minutes Disponibles Maximum</w:t>
      </w:r>
      <w:r>
        <w:t> » correspond au nombre de Minutes de Déploiement cumulées pour l’ensemble des Relais que vous déployez au</w:t>
      </w:r>
      <w:r w:rsidR="00852AF7">
        <w:t> </w:t>
      </w:r>
      <w:r>
        <w:t>cours d’un mois de facturation d’un abonnement Microsoft Azure donné.</w:t>
      </w:r>
    </w:p>
    <w:p w14:paraId="2DE85796" w14:textId="77777777" w:rsidR="00662D1B" w:rsidRPr="00FB368F" w:rsidRDefault="00662D1B" w:rsidP="007910ED">
      <w:pPr>
        <w:pStyle w:val="ProductList-Body"/>
      </w:pPr>
    </w:p>
    <w:p w14:paraId="261893A3" w14:textId="3A1FF5CE" w:rsidR="00662D1B" w:rsidRPr="00FB368F" w:rsidRDefault="00662D1B"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517353F1" w14:textId="77777777" w:rsidR="00662D1B" w:rsidRPr="00FB368F" w:rsidRDefault="00662D1B" w:rsidP="007910ED">
      <w:pPr>
        <w:pStyle w:val="ProductList-Body"/>
      </w:pPr>
    </w:p>
    <w:p w14:paraId="5DC1ED0D" w14:textId="7725B2EE" w:rsidR="00FB2E57" w:rsidRPr="00FB368F" w:rsidRDefault="00662D1B"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3AFF49F" w14:textId="77777777" w:rsidR="00FB2E57" w:rsidRPr="00FB368F" w:rsidRDefault="00FB2E57" w:rsidP="00FB2E57">
      <w:pPr>
        <w:pStyle w:val="ProductList-Body"/>
      </w:pPr>
    </w:p>
    <w:p w14:paraId="40485CFD" w14:textId="2723B19B"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291A0D5" w:rsidR="00662D1B" w:rsidRPr="00FB368F" w:rsidRDefault="00662D1B"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E71FDF">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Avoir Service</w:t>
            </w:r>
          </w:p>
        </w:tc>
      </w:tr>
      <w:tr w:rsidR="00662D1B" w:rsidRPr="009D0B2F" w14:paraId="481AABFD" w14:textId="77777777" w:rsidTr="00E71FDF">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61E66947" w:rsidR="00662D1B" w:rsidRPr="0076238C" w:rsidRDefault="00662D1B" w:rsidP="00124F73">
            <w:pPr>
              <w:pStyle w:val="ProductList-OfferingBody"/>
              <w:jc w:val="center"/>
            </w:pPr>
            <w:r>
              <w:t>10</w:t>
            </w:r>
            <w:r w:rsidR="00427BA8">
              <w:t xml:space="preserve"> </w:t>
            </w:r>
            <w:r>
              <w:t>%</w:t>
            </w:r>
          </w:p>
        </w:tc>
      </w:tr>
      <w:tr w:rsidR="00662D1B" w:rsidRPr="009D0B2F" w14:paraId="14B9A269" w14:textId="77777777" w:rsidTr="00E71FDF">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5F61B12B" w:rsidR="00662D1B" w:rsidRPr="0076238C" w:rsidRDefault="00662D1B" w:rsidP="00124F73">
            <w:pPr>
              <w:pStyle w:val="ProductList-OfferingBody"/>
              <w:jc w:val="center"/>
            </w:pPr>
            <w:r>
              <w:t>25</w:t>
            </w:r>
            <w:r w:rsidR="00427BA8">
              <w:t xml:space="preserve"> </w:t>
            </w:r>
            <w:r>
              <w:t>%</w:t>
            </w:r>
          </w:p>
        </w:tc>
      </w:tr>
    </w:tbl>
    <w:p w14:paraId="56842094" w14:textId="60022CA9" w:rsidR="00662D1B" w:rsidRPr="00FB368F" w:rsidRDefault="0036129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AA1F58A" w14:textId="7EC7B8A1" w:rsidR="007910ED" w:rsidRPr="008E64FF" w:rsidRDefault="007910ED" w:rsidP="007910ED">
      <w:pPr>
        <w:pStyle w:val="ProductList-Offering2Heading"/>
        <w:tabs>
          <w:tab w:val="clear" w:pos="360"/>
          <w:tab w:val="clear" w:pos="720"/>
          <w:tab w:val="clear" w:pos="1080"/>
        </w:tabs>
        <w:outlineLvl w:val="2"/>
        <w:rPr>
          <w:sz w:val="24"/>
          <w:szCs w:val="24"/>
          <w:lang w:eastAsia="en-US" w:bidi="ar-SA"/>
        </w:rPr>
      </w:pPr>
      <w:bookmarkStart w:id="68" w:name="_Toc416782679"/>
      <w:r w:rsidRPr="008E64FF">
        <w:rPr>
          <w:sz w:val="24"/>
          <w:szCs w:val="24"/>
          <w:lang w:eastAsia="en-US" w:bidi="ar-SA"/>
        </w:rPr>
        <w:t>Service Service-Bus - Files d’Attente et Rubriques</w:t>
      </w:r>
      <w:bookmarkEnd w:id="68"/>
    </w:p>
    <w:p w14:paraId="425584B3"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65D0B180" w14:textId="22CC47D1" w:rsidR="007910ED" w:rsidRPr="00FB368F" w:rsidRDefault="007910ED" w:rsidP="007910ED">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1236599D" w14:textId="20D47801" w:rsidR="007910ED" w:rsidRPr="00FB368F" w:rsidRDefault="007910ED" w:rsidP="007910ED">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26A04D8" w14:textId="77777777" w:rsidR="007910ED" w:rsidRPr="00FB368F" w:rsidRDefault="007910ED" w:rsidP="007910ED">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15501560" w14:textId="77777777" w:rsidR="007910ED" w:rsidRPr="00FB368F" w:rsidRDefault="007910ED" w:rsidP="007910ED">
      <w:pPr>
        <w:pStyle w:val="ProductList-Body"/>
      </w:pPr>
    </w:p>
    <w:p w14:paraId="4A1894E8" w14:textId="4B0808CC"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w:t>
      </w:r>
      <w:r w:rsidR="005556B3">
        <w:t> </w:t>
      </w:r>
      <w:r>
        <w:t>de réception de Messages ou d’exécution d’autres opérations relatives à la File d’Attente ou à la Rubrique au cours de cette minute renvoient un Code d’Erreur ou ne génèrent pas un Code de Réussite dans les cinq minutes.</w:t>
      </w:r>
    </w:p>
    <w:p w14:paraId="4A9BB9DB" w14:textId="77777777" w:rsidR="007910ED" w:rsidRPr="00FB368F" w:rsidRDefault="007910ED" w:rsidP="007910ED">
      <w:pPr>
        <w:pStyle w:val="ProductList-Body"/>
      </w:pPr>
    </w:p>
    <w:p w14:paraId="1093100B" w14:textId="07D3FAF3"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DB2C51" w14:textId="77777777" w:rsidR="00FB2E57" w:rsidRPr="00FB368F" w:rsidRDefault="00FB2E57" w:rsidP="00FB2E57">
      <w:pPr>
        <w:pStyle w:val="ProductList-Body"/>
      </w:pPr>
    </w:p>
    <w:p w14:paraId="174013B8" w14:textId="744C5DB0"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A4F0182" w:rsidR="007910ED" w:rsidRPr="00FB368F" w:rsidRDefault="007910ED" w:rsidP="00FB2E57">
      <w:pPr>
        <w:pStyle w:val="ProductList-Body"/>
      </w:pPr>
      <w:r>
        <w:rPr>
          <w:b/>
          <w:color w:val="00188F"/>
        </w:rPr>
        <w:t>Avoir Service</w:t>
      </w:r>
      <w:r>
        <w:t> </w:t>
      </w:r>
      <w:r w:rsidRPr="0015352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56B3">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2A9113E3" w14:textId="77777777" w:rsidTr="005556B3">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3B534996" w:rsidR="007910ED" w:rsidRPr="0076238C" w:rsidRDefault="007910ED" w:rsidP="00124F73">
            <w:pPr>
              <w:pStyle w:val="ProductList-OfferingBody"/>
              <w:jc w:val="center"/>
            </w:pPr>
            <w:r>
              <w:t>10</w:t>
            </w:r>
            <w:r w:rsidR="00F76818">
              <w:t xml:space="preserve"> </w:t>
            </w:r>
            <w:r>
              <w:t>%</w:t>
            </w:r>
          </w:p>
        </w:tc>
      </w:tr>
      <w:tr w:rsidR="007910ED" w:rsidRPr="009D0B2F" w14:paraId="7EFD646F" w14:textId="77777777" w:rsidTr="005556B3">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53ACC4C" w:rsidR="007910ED" w:rsidRPr="0076238C" w:rsidRDefault="007910ED" w:rsidP="00124F73">
            <w:pPr>
              <w:pStyle w:val="ProductList-OfferingBody"/>
              <w:jc w:val="center"/>
            </w:pPr>
            <w:r>
              <w:t>25</w:t>
            </w:r>
            <w:r w:rsidR="00F76818">
              <w:t xml:space="preserve"> </w:t>
            </w:r>
            <w:r>
              <w:t>%</w:t>
            </w:r>
          </w:p>
        </w:tc>
      </w:tr>
    </w:tbl>
    <w:p w14:paraId="5A02EE95" w14:textId="73796CF7" w:rsidR="007910ED" w:rsidRPr="00FB368F" w:rsidRDefault="0036129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2680"/>
      <w:r>
        <w:rPr>
          <w:sz w:val="24"/>
          <w:szCs w:val="24"/>
        </w:rPr>
        <w:t>Service Service-Bus - Concentrateurs de Notification</w:t>
      </w:r>
      <w:bookmarkEnd w:id="69"/>
    </w:p>
    <w:p w14:paraId="11DFD00C"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523D0784" w14:textId="5269849A" w:rsidR="007910ED" w:rsidRPr="00FB368F" w:rsidRDefault="007910ED" w:rsidP="007910ED">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A5644C6" w14:textId="1F420DB5" w:rsidR="007910ED" w:rsidRPr="00FB368F" w:rsidRDefault="007910ED" w:rsidP="00FB2E57">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4D08F446" w14:textId="77777777" w:rsidR="007910ED" w:rsidRPr="001A43B8" w:rsidRDefault="007910ED" w:rsidP="007910ED">
      <w:pPr>
        <w:pStyle w:val="ProductList-Body"/>
        <w:rPr>
          <w:szCs w:val="18"/>
        </w:rPr>
      </w:pPr>
    </w:p>
    <w:p w14:paraId="6B8FF473" w14:textId="5CB774C4"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Concentrateurs de Notification de l’édition De</w:t>
      </w:r>
      <w:r w:rsidR="00D7101E">
        <w:t> </w:t>
      </w:r>
      <w:r>
        <w:t>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0CA1C383" w14:textId="77777777" w:rsidR="007910ED" w:rsidRPr="001A43B8" w:rsidRDefault="007910ED" w:rsidP="007910ED">
      <w:pPr>
        <w:pStyle w:val="ProductList-Body"/>
        <w:rPr>
          <w:szCs w:val="18"/>
        </w:rPr>
      </w:pPr>
    </w:p>
    <w:p w14:paraId="2EEA7AAB" w14:textId="4ABFF26D"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70D180" w14:textId="77777777" w:rsidR="00FB2E57" w:rsidRPr="001A43B8" w:rsidRDefault="00FB2E57" w:rsidP="00FB2E57">
      <w:pPr>
        <w:pStyle w:val="ProductList-Body"/>
        <w:rPr>
          <w:szCs w:val="18"/>
        </w:rPr>
      </w:pPr>
    </w:p>
    <w:p w14:paraId="27222479" w14:textId="6A289361"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5B9782" w:rsidR="007910ED" w:rsidRPr="00FB368F" w:rsidRDefault="007910ED"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6C6261">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16E7B856" w14:textId="77777777" w:rsidTr="006C6261">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469A466B" w:rsidR="007910ED" w:rsidRPr="0076238C" w:rsidRDefault="007910ED" w:rsidP="00124F73">
            <w:pPr>
              <w:pStyle w:val="ProductList-OfferingBody"/>
              <w:jc w:val="center"/>
            </w:pPr>
            <w:r>
              <w:t>10</w:t>
            </w:r>
            <w:r w:rsidR="00C74F3E">
              <w:t xml:space="preserve"> </w:t>
            </w:r>
            <w:r>
              <w:t>%</w:t>
            </w:r>
          </w:p>
        </w:tc>
      </w:tr>
      <w:tr w:rsidR="007910ED" w:rsidRPr="009D0B2F" w14:paraId="3474FF89" w14:textId="77777777" w:rsidTr="006C6261">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278C5C40" w:rsidR="007910ED" w:rsidRPr="0076238C" w:rsidRDefault="007910ED" w:rsidP="00124F73">
            <w:pPr>
              <w:pStyle w:val="ProductList-OfferingBody"/>
              <w:jc w:val="center"/>
            </w:pPr>
            <w:r>
              <w:t>25</w:t>
            </w:r>
            <w:r w:rsidR="00C74F3E">
              <w:t xml:space="preserve"> </w:t>
            </w:r>
            <w:r>
              <w:t>%</w:t>
            </w:r>
          </w:p>
        </w:tc>
      </w:tr>
    </w:tbl>
    <w:p w14:paraId="7E9E5FC0" w14:textId="77777777" w:rsidR="00FB2E57" w:rsidRPr="001A43B8" w:rsidRDefault="00FB2E57" w:rsidP="00FB2E57">
      <w:pPr>
        <w:pStyle w:val="ProductList-Body"/>
        <w:rPr>
          <w:szCs w:val="18"/>
        </w:rPr>
      </w:pPr>
    </w:p>
    <w:p w14:paraId="1CCC3459" w14:textId="35697E04" w:rsidR="00FB2E57" w:rsidRPr="00FB368F" w:rsidRDefault="00FB2E57" w:rsidP="00FB2E57">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et Standard des Concentrateurs de Notification. L’édition Gratuite des Concentrateurs de Notification n’est pas couverte par le présent SLA.</w:t>
      </w:r>
    </w:p>
    <w:p w14:paraId="077BFB19" w14:textId="4A7B159B" w:rsidR="007910ED" w:rsidRPr="00FB368F" w:rsidRDefault="0036129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719625" w14:textId="5AE9906A" w:rsidR="00FB2E57" w:rsidRPr="008E64FF" w:rsidRDefault="00FB2E57" w:rsidP="00FB2E57">
      <w:pPr>
        <w:pStyle w:val="ProductList-Offering2Heading"/>
        <w:tabs>
          <w:tab w:val="clear" w:pos="360"/>
          <w:tab w:val="clear" w:pos="720"/>
          <w:tab w:val="clear" w:pos="1080"/>
        </w:tabs>
        <w:outlineLvl w:val="2"/>
        <w:rPr>
          <w:sz w:val="24"/>
          <w:szCs w:val="24"/>
          <w:lang w:eastAsia="en-US" w:bidi="ar-SA"/>
        </w:rPr>
      </w:pPr>
      <w:bookmarkStart w:id="70" w:name="_Toc416782681"/>
      <w:r w:rsidRPr="008E64FF">
        <w:rPr>
          <w:sz w:val="24"/>
          <w:szCs w:val="24"/>
          <w:lang w:eastAsia="en-US" w:bidi="ar-SA"/>
        </w:rPr>
        <w:t>Service Service-Bus - Concentrateurs d’Événement</w:t>
      </w:r>
      <w:bookmarkEnd w:id="70"/>
    </w:p>
    <w:p w14:paraId="3699B8CC" w14:textId="77777777" w:rsidR="00FB2E57" w:rsidRPr="00FB368F" w:rsidRDefault="00FB2E57" w:rsidP="00FB2E57">
      <w:pPr>
        <w:pStyle w:val="ProductList-Body"/>
      </w:pPr>
      <w:r>
        <w:rPr>
          <w:b/>
          <w:color w:val="00188F"/>
        </w:rPr>
        <w:t>Définitions Supplémentaires</w:t>
      </w:r>
      <w:r>
        <w:t> </w:t>
      </w:r>
      <w:r w:rsidRPr="0015352A">
        <w:rPr>
          <w:b/>
          <w:color w:val="00188F"/>
        </w:rPr>
        <w:t>:</w:t>
      </w:r>
    </w:p>
    <w:p w14:paraId="42533C28" w14:textId="1A3D1FD0" w:rsidR="00FB2E57" w:rsidRPr="00FB368F" w:rsidRDefault="00FB2E57" w:rsidP="00FB2E57">
      <w:pPr>
        <w:pStyle w:val="ProductList-Body"/>
        <w:spacing w:after="40"/>
      </w:pPr>
      <w:r>
        <w:t>« </w:t>
      </w:r>
      <w:r>
        <w:rPr>
          <w:b/>
          <w:color w:val="00188F"/>
        </w:rPr>
        <w:t>Minutes de Déploiement</w:t>
      </w:r>
      <w:r>
        <w:t> » correspond au nombre total de minutes pendant lesquelles un Concentrateur d’Événement donné a été déployé dans</w:t>
      </w:r>
      <w:r w:rsidR="002962FB">
        <w:t> </w:t>
      </w:r>
      <w:r>
        <w:t>Microsoft Azure au cours d’un mois de facturation.</w:t>
      </w:r>
    </w:p>
    <w:p w14:paraId="0E37A067" w14:textId="2A743026" w:rsidR="00FB2E57" w:rsidRPr="00FB368F" w:rsidRDefault="00FB2E57" w:rsidP="00FB2E57">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0711490B" w14:textId="63080A94" w:rsidR="00FB2E57" w:rsidRPr="00FB368F" w:rsidRDefault="00FB2E57" w:rsidP="00FB2E57">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52E0EB5" w14:textId="3E8E2A75" w:rsidR="00FB2E57" w:rsidRPr="00FB368F" w:rsidRDefault="00FB2E57" w:rsidP="00FB2E57">
      <w:pPr>
        <w:pStyle w:val="ProductList-Body"/>
      </w:pPr>
      <w:r>
        <w:rPr>
          <w:b/>
          <w:color w:val="00188F"/>
        </w:rPr>
        <w:t>Temps d’Indisponibilité</w:t>
      </w:r>
      <w:r>
        <w:t> </w:t>
      </w:r>
      <w:r w:rsidRPr="006F32B3">
        <w:rPr>
          <w:b/>
          <w:color w:val="00188F"/>
        </w:rPr>
        <w:t>:</w:t>
      </w:r>
      <w:r>
        <w:t xml:space="preserve"> nombre total de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62F722B3" w14:textId="77777777" w:rsidR="00FB2E57" w:rsidRPr="001A43B8" w:rsidRDefault="00FB2E57" w:rsidP="00FB2E57">
      <w:pPr>
        <w:pStyle w:val="ProductList-Body"/>
        <w:rPr>
          <w:szCs w:val="18"/>
        </w:rPr>
      </w:pPr>
    </w:p>
    <w:p w14:paraId="3DFB0AEA" w14:textId="6EFFA457" w:rsidR="00FB2E57" w:rsidRPr="00FB368F" w:rsidRDefault="00FB2E57" w:rsidP="00FB2E5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DE7D56" w14:textId="77777777" w:rsidR="00FB2E57" w:rsidRPr="001A43B8" w:rsidRDefault="00FB2E57" w:rsidP="00FB2E57">
      <w:pPr>
        <w:pStyle w:val="ProductList-Body"/>
        <w:rPr>
          <w:szCs w:val="18"/>
        </w:rPr>
      </w:pPr>
    </w:p>
    <w:p w14:paraId="0C7B2D47" w14:textId="355FB441" w:rsidR="00FB2E57" w:rsidRPr="00FB368F" w:rsidRDefault="003612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05095A4" w:rsidR="00FB2E57" w:rsidRPr="00FB368F" w:rsidRDefault="00FB2E57" w:rsidP="00FB2E57">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C3559">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74CC781D" w14:textId="77777777" w:rsidTr="00AC3559">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5AA6BD5E" w:rsidR="00FB2E57" w:rsidRPr="0076238C" w:rsidRDefault="00FB2E57" w:rsidP="00124F73">
            <w:pPr>
              <w:pStyle w:val="ProductList-OfferingBody"/>
              <w:jc w:val="center"/>
            </w:pPr>
            <w:r>
              <w:t>10</w:t>
            </w:r>
            <w:r w:rsidR="00AC3559">
              <w:t xml:space="preserve"> </w:t>
            </w:r>
            <w:r>
              <w:t>%</w:t>
            </w:r>
          </w:p>
        </w:tc>
      </w:tr>
      <w:tr w:rsidR="00FB2E57" w:rsidRPr="009D0B2F" w14:paraId="7E14E5F6" w14:textId="77777777" w:rsidTr="00AC3559">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49BBA6C6" w:rsidR="00FB2E57" w:rsidRPr="0076238C" w:rsidRDefault="00FB2E57" w:rsidP="00124F73">
            <w:pPr>
              <w:pStyle w:val="ProductList-OfferingBody"/>
              <w:jc w:val="center"/>
            </w:pPr>
            <w:r>
              <w:t>25</w:t>
            </w:r>
            <w:r w:rsidR="00AC3559">
              <w:t xml:space="preserve"> </w:t>
            </w:r>
            <w:r>
              <w:t>%</w:t>
            </w:r>
          </w:p>
        </w:tc>
      </w:tr>
    </w:tbl>
    <w:p w14:paraId="02C6F7A5" w14:textId="77777777" w:rsidR="00FB2E57" w:rsidRPr="00FB368F" w:rsidRDefault="00FB2E57" w:rsidP="00124F73">
      <w:pPr>
        <w:pStyle w:val="ProductList-Body"/>
        <w:jc w:val="center"/>
      </w:pPr>
    </w:p>
    <w:p w14:paraId="2617305D" w14:textId="4E183151" w:rsidR="00FB2E57" w:rsidRPr="00FB368F" w:rsidRDefault="00FB2E57" w:rsidP="00FB2E57">
      <w:pPr>
        <w:pStyle w:val="ProductList-Body"/>
      </w:pPr>
      <w:r>
        <w:rPr>
          <w:b/>
          <w:color w:val="00188F"/>
        </w:rPr>
        <w:t>Exceptions de Niveau de Service</w:t>
      </w:r>
      <w:r>
        <w:t> </w:t>
      </w:r>
      <w:r w:rsidRPr="006F32B3">
        <w:rPr>
          <w:b/>
          <w:color w:val="00188F"/>
        </w:rPr>
        <w:t>:</w:t>
      </w:r>
      <w:r>
        <w:t xml:space="preserve"> </w:t>
      </w:r>
      <w:r>
        <w:rPr>
          <w:szCs w:val="18"/>
        </w:rPr>
        <w:t>les Niveaux de Service et Avoirs Service s’appliquent à votre utilisation des éditions De Base et Standard du Concentrateur d’Événement. L’édition Gratuite du Concentrateur d’Événement n’est pas couverte par le présent SLA</w:t>
      </w:r>
      <w:r>
        <w:t>.</w:t>
      </w:r>
    </w:p>
    <w:p w14:paraId="62A714D6" w14:textId="591BC404" w:rsidR="00FB2E57" w:rsidRPr="00FB368F" w:rsidRDefault="0036129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94A6FD" w14:textId="7FD0DEB2" w:rsidR="00FB2E57" w:rsidRPr="008E64FF" w:rsidRDefault="00FB2E57" w:rsidP="00FB2E57">
      <w:pPr>
        <w:pStyle w:val="ProductList-Offering2Heading"/>
        <w:tabs>
          <w:tab w:val="clear" w:pos="360"/>
          <w:tab w:val="clear" w:pos="720"/>
          <w:tab w:val="clear" w:pos="1080"/>
        </w:tabs>
        <w:outlineLvl w:val="2"/>
        <w:rPr>
          <w:sz w:val="24"/>
          <w:szCs w:val="24"/>
          <w:lang w:eastAsia="en-US" w:bidi="ar-SA"/>
        </w:rPr>
      </w:pPr>
      <w:bookmarkStart w:id="71" w:name="_Toc412532208"/>
      <w:bookmarkStart w:id="72" w:name="_Toc416782682"/>
      <w:r w:rsidRPr="008E64FF">
        <w:rPr>
          <w:sz w:val="24"/>
          <w:szCs w:val="24"/>
          <w:lang w:eastAsia="en-US" w:bidi="ar-SA"/>
        </w:rPr>
        <w:t>Service Site Recovery – Basculement de Site Local vers Azure</w:t>
      </w:r>
      <w:bookmarkEnd w:id="71"/>
      <w:bookmarkEnd w:id="72"/>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36129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8E64FF" w:rsidRDefault="00C202AE" w:rsidP="00C202AE">
      <w:pPr>
        <w:pStyle w:val="ProductList-Offering2Heading"/>
        <w:tabs>
          <w:tab w:val="clear" w:pos="360"/>
          <w:tab w:val="clear" w:pos="720"/>
          <w:tab w:val="clear" w:pos="1080"/>
        </w:tabs>
        <w:outlineLvl w:val="2"/>
        <w:rPr>
          <w:sz w:val="24"/>
          <w:szCs w:val="24"/>
          <w:lang w:eastAsia="en-US" w:bidi="ar-SA"/>
        </w:rPr>
      </w:pPr>
      <w:bookmarkStart w:id="73" w:name="_Toc412532209"/>
      <w:bookmarkStart w:id="74" w:name="_Toc416782683"/>
      <w:r w:rsidRPr="00F34ED1">
        <w:rPr>
          <w:sz w:val="24"/>
          <w:szCs w:val="24"/>
          <w:lang w:eastAsia="en-US" w:bidi="ar-SA"/>
        </w:rPr>
        <w:t>Service Site Recovery – Basculement de Site Local vers Site Local</w:t>
      </w:r>
      <w:bookmarkEnd w:id="73"/>
      <w:bookmarkEnd w:id="74"/>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36129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36129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E02728" w14:textId="0BB06142" w:rsidR="00F439B9" w:rsidRDefault="00F439B9" w:rsidP="00F439B9">
      <w:pPr>
        <w:pStyle w:val="ProductList-Offering2Heading"/>
        <w:tabs>
          <w:tab w:val="clear" w:pos="360"/>
        </w:tabs>
        <w:outlineLvl w:val="2"/>
      </w:pPr>
      <w:bookmarkStart w:id="75" w:name="_Toc414887416"/>
      <w:bookmarkStart w:id="76" w:name="_Toc416782684"/>
      <w:bookmarkStart w:id="77" w:name="_Toc412532210"/>
      <w:r>
        <w:rPr>
          <w:sz w:val="24"/>
          <w:szCs w:val="24"/>
        </w:rPr>
        <w:t>Stream Analytics – Appels d’API</w:t>
      </w:r>
      <w:bookmarkEnd w:id="75"/>
      <w:bookmarkEnd w:id="76"/>
    </w:p>
    <w:p w14:paraId="234AF0B7" w14:textId="77777777" w:rsidR="00F439B9" w:rsidRDefault="00F439B9" w:rsidP="00F439B9">
      <w:pPr>
        <w:pStyle w:val="ProductList-Body"/>
      </w:pPr>
      <w:r>
        <w:rPr>
          <w:b/>
          <w:color w:val="00188F"/>
        </w:rPr>
        <w:t>Définitions Supplémentaires</w:t>
      </w:r>
      <w:r>
        <w:t> </w:t>
      </w:r>
      <w:r>
        <w:rPr>
          <w:b/>
          <w:color w:val="00188F"/>
        </w:rPr>
        <w:t>:</w:t>
      </w:r>
    </w:p>
    <w:p w14:paraId="0D016564" w14:textId="77777777" w:rsidR="00F439B9" w:rsidRDefault="00F439B9" w:rsidP="00F439B9">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099B56B1" w14:textId="77777777" w:rsidR="00F439B9" w:rsidRDefault="00F439B9" w:rsidP="00F439B9">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275981F8" w14:textId="77777777" w:rsidR="00F439B9" w:rsidRDefault="00F439B9" w:rsidP="00F439B9">
      <w:pPr>
        <w:pStyle w:val="ProductList-Body"/>
      </w:pPr>
    </w:p>
    <w:p w14:paraId="2FDBCD61" w14:textId="77777777" w:rsidR="00F439B9" w:rsidRDefault="00F439B9" w:rsidP="00F439B9">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1E62C441" w14:textId="77777777" w:rsidR="00F439B9" w:rsidRDefault="00F439B9" w:rsidP="00F439B9">
      <w:pPr>
        <w:pStyle w:val="ProductList-Body"/>
      </w:pPr>
    </w:p>
    <w:p w14:paraId="4E0FA610" w14:textId="77777777" w:rsidR="00F439B9" w:rsidRDefault="00F439B9" w:rsidP="00F439B9">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49629359" w14:textId="77777777" w:rsidR="00F439B9" w:rsidRDefault="00F439B9" w:rsidP="00F439B9">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439B9" w14:paraId="53114745" w14:textId="77777777" w:rsidTr="00F439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BB8782" w14:textId="77777777" w:rsidR="00F439B9" w:rsidRDefault="00F439B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4A7FAF" w14:textId="77777777" w:rsidR="00F439B9" w:rsidRDefault="00F439B9">
            <w:pPr>
              <w:pStyle w:val="ProductList-OfferingBody"/>
              <w:spacing w:line="256" w:lineRule="auto"/>
              <w:jc w:val="center"/>
              <w:rPr>
                <w:color w:val="FFFFFF" w:themeColor="background1"/>
              </w:rPr>
            </w:pPr>
            <w:r>
              <w:rPr>
                <w:color w:val="FFFFFF" w:themeColor="background1"/>
              </w:rPr>
              <w:t>Avoir Service</w:t>
            </w:r>
          </w:p>
        </w:tc>
      </w:tr>
      <w:tr w:rsidR="00F439B9" w14:paraId="1F76994C"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1515" w14:textId="77777777" w:rsidR="00F439B9" w:rsidRDefault="00F439B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9980" w14:textId="77777777" w:rsidR="00F439B9" w:rsidRDefault="00F439B9">
            <w:pPr>
              <w:pStyle w:val="ProductList-OfferingBody"/>
              <w:spacing w:line="256" w:lineRule="auto"/>
              <w:jc w:val="center"/>
            </w:pPr>
            <w:r>
              <w:t>10 %</w:t>
            </w:r>
          </w:p>
        </w:tc>
      </w:tr>
      <w:tr w:rsidR="00F439B9" w14:paraId="2F065B5A"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AB43" w14:textId="77777777" w:rsidR="00F439B9" w:rsidRDefault="00F439B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DFB16" w14:textId="77777777" w:rsidR="00F439B9" w:rsidRDefault="00F439B9">
            <w:pPr>
              <w:pStyle w:val="ProductList-OfferingBody"/>
              <w:spacing w:line="256" w:lineRule="auto"/>
              <w:jc w:val="center"/>
            </w:pPr>
            <w:r>
              <w:t>25 %</w:t>
            </w:r>
          </w:p>
        </w:tc>
      </w:tr>
    </w:tbl>
    <w:p w14:paraId="21EB55F4" w14:textId="77777777" w:rsidR="00F439B9" w:rsidRDefault="0036129B" w:rsidP="00F439B9">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F439B9">
          <w:rPr>
            <w:rStyle w:val="Hyperlink"/>
            <w:sz w:val="16"/>
            <w:szCs w:val="16"/>
          </w:rPr>
          <w:t>Table des matières</w:t>
        </w:r>
      </w:hyperlink>
      <w:r w:rsidR="00F439B9">
        <w:rPr>
          <w:sz w:val="16"/>
          <w:szCs w:val="16"/>
        </w:rPr>
        <w:t xml:space="preserve"> / </w:t>
      </w:r>
      <w:hyperlink r:id="rId27" w:anchor="Définitions" w:history="1">
        <w:r w:rsidR="00F439B9">
          <w:rPr>
            <w:rStyle w:val="Hyperlink"/>
            <w:sz w:val="16"/>
            <w:szCs w:val="16"/>
          </w:rPr>
          <w:t>Définitions</w:t>
        </w:r>
      </w:hyperlink>
    </w:p>
    <w:p w14:paraId="5C4D2557" w14:textId="088FD0C9" w:rsidR="00F439B9" w:rsidRDefault="00F439B9" w:rsidP="00F439B9">
      <w:pPr>
        <w:pStyle w:val="ProductList-Offering2Heading"/>
        <w:tabs>
          <w:tab w:val="clear" w:pos="360"/>
        </w:tabs>
        <w:outlineLvl w:val="2"/>
      </w:pPr>
      <w:bookmarkStart w:id="78" w:name="_Toc414887417"/>
      <w:bookmarkStart w:id="79" w:name="_Toc416782685"/>
      <w:r>
        <w:rPr>
          <w:sz w:val="24"/>
          <w:szCs w:val="24"/>
        </w:rPr>
        <w:t>Stream Analytics – Travaux</w:t>
      </w:r>
      <w:bookmarkEnd w:id="78"/>
      <w:bookmarkEnd w:id="79"/>
    </w:p>
    <w:p w14:paraId="169E612F" w14:textId="77777777" w:rsidR="00F439B9" w:rsidRDefault="00F439B9" w:rsidP="00F439B9">
      <w:pPr>
        <w:pStyle w:val="ProductList-Body"/>
      </w:pPr>
      <w:r>
        <w:rPr>
          <w:b/>
          <w:color w:val="00188F"/>
        </w:rPr>
        <w:t>Définitions Supplémentaires</w:t>
      </w:r>
      <w:r>
        <w:t> </w:t>
      </w:r>
      <w:r>
        <w:rPr>
          <w:b/>
          <w:color w:val="00188F"/>
        </w:rPr>
        <w:t>:</w:t>
      </w:r>
    </w:p>
    <w:p w14:paraId="55031519" w14:textId="77777777" w:rsidR="00F439B9" w:rsidRDefault="00F439B9" w:rsidP="00F439B9">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724D55CB" w14:textId="77777777" w:rsidR="00F439B9" w:rsidRDefault="00F439B9" w:rsidP="00F439B9">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1BE1344D" w14:textId="77777777" w:rsidR="00F439B9" w:rsidRDefault="00F439B9" w:rsidP="00F439B9">
      <w:pPr>
        <w:pStyle w:val="ProductList-Body"/>
        <w:tabs>
          <w:tab w:val="left" w:pos="0"/>
        </w:tabs>
      </w:pPr>
    </w:p>
    <w:p w14:paraId="29A022A6" w14:textId="77777777" w:rsidR="00F439B9" w:rsidRDefault="00F439B9" w:rsidP="00F439B9">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7F5E0860" w14:textId="77777777" w:rsidR="00F439B9" w:rsidRDefault="00F439B9" w:rsidP="00F439B9">
      <w:pPr>
        <w:pStyle w:val="ProductList-Body"/>
        <w:tabs>
          <w:tab w:val="left" w:pos="0"/>
        </w:tabs>
        <w:jc w:val="both"/>
      </w:pPr>
    </w:p>
    <w:p w14:paraId="5574556B" w14:textId="77777777" w:rsidR="00F439B9" w:rsidRDefault="00F439B9" w:rsidP="00F439B9">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AFDBE2A" w14:textId="77777777" w:rsidR="00F439B9" w:rsidRDefault="00F439B9" w:rsidP="00F439B9">
      <w:pPr>
        <w:pStyle w:val="ProductList-Body"/>
        <w:tabs>
          <w:tab w:val="left" w:pos="0"/>
        </w:tabs>
        <w:jc w:val="both"/>
      </w:pPr>
    </w:p>
    <w:p w14:paraId="2375385C" w14:textId="77777777" w:rsidR="00F439B9" w:rsidRDefault="0036129B" w:rsidP="00F439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FF8DD" w14:textId="77777777" w:rsidR="00F439B9" w:rsidRDefault="00F439B9" w:rsidP="00F439B9">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439B9" w14:paraId="1428756C" w14:textId="77777777" w:rsidTr="00F439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B0F27" w14:textId="77777777" w:rsidR="00F439B9" w:rsidRDefault="00F439B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10EFB" w14:textId="77777777" w:rsidR="00F439B9" w:rsidRDefault="00F439B9">
            <w:pPr>
              <w:pStyle w:val="ProductList-OfferingBody"/>
              <w:spacing w:line="256" w:lineRule="auto"/>
              <w:jc w:val="center"/>
              <w:rPr>
                <w:color w:val="FFFFFF" w:themeColor="background1"/>
              </w:rPr>
            </w:pPr>
            <w:r>
              <w:rPr>
                <w:color w:val="FFFFFF" w:themeColor="background1"/>
              </w:rPr>
              <w:t>Avoir Service</w:t>
            </w:r>
          </w:p>
        </w:tc>
      </w:tr>
      <w:tr w:rsidR="00F439B9" w14:paraId="5E2FFCFF"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D7996" w14:textId="77777777" w:rsidR="00F439B9" w:rsidRDefault="00F439B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E6907" w14:textId="77777777" w:rsidR="00F439B9" w:rsidRDefault="00F439B9">
            <w:pPr>
              <w:pStyle w:val="ProductList-OfferingBody"/>
              <w:spacing w:line="256" w:lineRule="auto"/>
              <w:jc w:val="center"/>
            </w:pPr>
            <w:r>
              <w:t>10 %</w:t>
            </w:r>
          </w:p>
        </w:tc>
      </w:tr>
      <w:tr w:rsidR="00F439B9" w14:paraId="368BDDA9"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9991A" w14:textId="77777777" w:rsidR="00F439B9" w:rsidRDefault="00F439B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36BCF" w14:textId="77777777" w:rsidR="00F439B9" w:rsidRDefault="00F439B9">
            <w:pPr>
              <w:pStyle w:val="ProductList-OfferingBody"/>
              <w:spacing w:line="256" w:lineRule="auto"/>
              <w:jc w:val="center"/>
            </w:pPr>
            <w:r>
              <w:t>25 %</w:t>
            </w:r>
          </w:p>
        </w:tc>
      </w:tr>
    </w:tbl>
    <w:p w14:paraId="2EC360CE" w14:textId="77777777" w:rsidR="00F439B9" w:rsidRDefault="0036129B" w:rsidP="00F439B9">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F439B9">
          <w:rPr>
            <w:rStyle w:val="Hyperlink"/>
            <w:sz w:val="16"/>
            <w:szCs w:val="16"/>
          </w:rPr>
          <w:t>Table des matières</w:t>
        </w:r>
      </w:hyperlink>
      <w:r w:rsidR="00F439B9">
        <w:rPr>
          <w:sz w:val="16"/>
          <w:szCs w:val="16"/>
        </w:rPr>
        <w:t xml:space="preserve"> / </w:t>
      </w:r>
      <w:hyperlink r:id="rId29" w:anchor="Définitions" w:history="1">
        <w:r w:rsidR="00F439B9">
          <w:rPr>
            <w:rStyle w:val="Hyperlink"/>
            <w:sz w:val="16"/>
            <w:szCs w:val="16"/>
          </w:rPr>
          <w:t>Définitions</w:t>
        </w:r>
      </w:hyperlink>
    </w:p>
    <w:p w14:paraId="42D5D9EB" w14:textId="0E291335" w:rsidR="005D4A94" w:rsidRPr="008E64FF" w:rsidRDefault="005D4A94" w:rsidP="005D4A94">
      <w:pPr>
        <w:pStyle w:val="ProductList-Offering2Heading"/>
        <w:tabs>
          <w:tab w:val="clear" w:pos="360"/>
          <w:tab w:val="clear" w:pos="720"/>
          <w:tab w:val="clear" w:pos="1080"/>
        </w:tabs>
        <w:outlineLvl w:val="2"/>
        <w:rPr>
          <w:sz w:val="24"/>
          <w:szCs w:val="24"/>
          <w:lang w:eastAsia="en-US" w:bidi="ar-SA"/>
        </w:rPr>
      </w:pPr>
      <w:bookmarkStart w:id="80" w:name="_Toc416782686"/>
      <w:r w:rsidRPr="008E64FF">
        <w:rPr>
          <w:sz w:val="24"/>
          <w:szCs w:val="24"/>
          <w:lang w:eastAsia="en-US" w:bidi="ar-SA"/>
        </w:rPr>
        <w:t>Service de Base de Données SQL (éditions Web et Business)</w:t>
      </w:r>
      <w:bookmarkEnd w:id="77"/>
      <w:bookmarkEnd w:id="80"/>
    </w:p>
    <w:p w14:paraId="2115DEF2"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D8DFC71" w14:textId="77777777" w:rsidR="005D4A94" w:rsidRPr="00FB368F" w:rsidRDefault="005D4A94" w:rsidP="005D4A94">
      <w:pPr>
        <w:pStyle w:val="ProductList-Body"/>
        <w:spacing w:after="40"/>
      </w:pPr>
      <w:r>
        <w:t>« </w:t>
      </w:r>
      <w:r>
        <w:rPr>
          <w:b/>
          <w:color w:val="00188F"/>
        </w:rPr>
        <w:t>Base de Données</w:t>
      </w:r>
      <w:r>
        <w:t> » désigne toute Base de Données SQL Microsoft Azure des éditions Web ou Business.</w:t>
      </w:r>
    </w:p>
    <w:p w14:paraId="1B1A375F" w14:textId="77777777"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57CAF374" w14:textId="77777777"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13EFE175" w14:textId="77777777" w:rsidR="005D4A94" w:rsidRPr="00FB368F" w:rsidRDefault="005D4A94" w:rsidP="005D4A94">
      <w:pPr>
        <w:pStyle w:val="ProductList-Body"/>
      </w:pPr>
    </w:p>
    <w:p w14:paraId="03253840" w14:textId="78B911A8"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047B942B" w14:textId="77777777" w:rsidR="005D4A94" w:rsidRPr="00FB368F" w:rsidRDefault="005D4A94" w:rsidP="005D4A94">
      <w:pPr>
        <w:pStyle w:val="ProductList-Body"/>
      </w:pPr>
    </w:p>
    <w:p w14:paraId="45EB9936" w14:textId="6EE747CC"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7A617BAA" w14:textId="77777777" w:rsidR="005D4A94" w:rsidRPr="00FB368F" w:rsidRDefault="005D4A94" w:rsidP="005D4A94">
      <w:pPr>
        <w:pStyle w:val="ProductList-Body"/>
      </w:pPr>
    </w:p>
    <w:p w14:paraId="08D231CE" w14:textId="22CC855F" w:rsidR="005D4A94" w:rsidRPr="00FB368F" w:rsidRDefault="0036129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108DD">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45EA80CE" w14:textId="77777777" w:rsidTr="00F108DD">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1D7EC01A" w:rsidR="005D4A94" w:rsidRPr="0076238C" w:rsidRDefault="005D4A94" w:rsidP="00002CD6">
            <w:pPr>
              <w:pStyle w:val="ProductList-OfferingBody"/>
              <w:jc w:val="center"/>
            </w:pPr>
            <w:r>
              <w:t>10</w:t>
            </w:r>
            <w:r w:rsidR="00427BA8">
              <w:t xml:space="preserve"> </w:t>
            </w:r>
            <w:r>
              <w:t>%</w:t>
            </w:r>
          </w:p>
        </w:tc>
      </w:tr>
      <w:tr w:rsidR="005D4A94" w:rsidRPr="009D0B2F" w14:paraId="3B971F43" w14:textId="77777777" w:rsidTr="00F108DD">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29C788B" w:rsidR="005D4A94" w:rsidRPr="0076238C" w:rsidRDefault="005D4A94" w:rsidP="00002CD6">
            <w:pPr>
              <w:pStyle w:val="ProductList-OfferingBody"/>
              <w:jc w:val="center"/>
            </w:pPr>
            <w:r>
              <w:t>25</w:t>
            </w:r>
            <w:r w:rsidR="00427BA8">
              <w:t xml:space="preserve"> </w:t>
            </w:r>
            <w:r>
              <w:t>%</w:t>
            </w:r>
          </w:p>
        </w:tc>
      </w:tr>
    </w:tbl>
    <w:p w14:paraId="51A458AB" w14:textId="3E029221" w:rsidR="005D4A94" w:rsidRPr="00FB368F" w:rsidRDefault="003612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1813F" w14:textId="275492FE" w:rsidR="005D4A94" w:rsidRPr="008E64FF" w:rsidRDefault="005D4A94" w:rsidP="005D4A94">
      <w:pPr>
        <w:pStyle w:val="ProductList-Offering2Heading"/>
        <w:tabs>
          <w:tab w:val="clear" w:pos="360"/>
          <w:tab w:val="clear" w:pos="720"/>
          <w:tab w:val="clear" w:pos="1080"/>
        </w:tabs>
        <w:outlineLvl w:val="2"/>
        <w:rPr>
          <w:sz w:val="24"/>
          <w:szCs w:val="24"/>
          <w:lang w:eastAsia="en-US" w:bidi="ar-SA"/>
        </w:rPr>
      </w:pPr>
      <w:bookmarkStart w:id="81" w:name="_Toc416782687"/>
      <w:r w:rsidRPr="008E64FF">
        <w:rPr>
          <w:sz w:val="24"/>
          <w:szCs w:val="24"/>
          <w:lang w:eastAsia="en-US" w:bidi="ar-SA"/>
        </w:rPr>
        <w:t>Service de Base de Données SQL (éditions De Base, Standard et Premium)</w:t>
      </w:r>
      <w:bookmarkEnd w:id="81"/>
    </w:p>
    <w:p w14:paraId="4517FA18"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43E24B00" w14:textId="168BF44C" w:rsidR="005D4A94" w:rsidRPr="00FB368F" w:rsidRDefault="005D4A94" w:rsidP="005D4A94">
      <w:pPr>
        <w:pStyle w:val="ProductList-Body"/>
        <w:spacing w:after="40"/>
      </w:pPr>
      <w:r>
        <w:t>« </w:t>
      </w:r>
      <w:r>
        <w:rPr>
          <w:b/>
          <w:color w:val="00188F"/>
        </w:rPr>
        <w:t>Base de Données</w:t>
      </w:r>
      <w:r>
        <w:t> » désigne toute Base de Données SQL Microsoft Azure des éditions De Base, Standard et Premium.</w:t>
      </w:r>
    </w:p>
    <w:p w14:paraId="5B64287F" w14:textId="22D494BA"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C7286C0" w14:textId="49FC3994"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40A83BD5" w14:textId="77777777" w:rsidR="005D4A94" w:rsidRPr="00FB368F" w:rsidRDefault="005D4A94" w:rsidP="005D4A94">
      <w:pPr>
        <w:pStyle w:val="ProductList-Body"/>
      </w:pPr>
    </w:p>
    <w:p w14:paraId="110C2A2E" w14:textId="3E35D0D3"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1ABAEB59" w14:textId="77777777" w:rsidR="005D4A94" w:rsidRPr="00FB368F" w:rsidRDefault="005D4A94" w:rsidP="005D4A94">
      <w:pPr>
        <w:pStyle w:val="ProductList-Body"/>
      </w:pPr>
    </w:p>
    <w:p w14:paraId="0FE3777F" w14:textId="319916A7"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46C0586" w14:textId="77777777" w:rsidR="005D4A94" w:rsidRPr="00FB368F" w:rsidRDefault="005D4A94" w:rsidP="005D4A94">
      <w:pPr>
        <w:pStyle w:val="ProductList-Body"/>
      </w:pPr>
    </w:p>
    <w:p w14:paraId="5F1CBCF8" w14:textId="53D6BA88" w:rsidR="005D4A94" w:rsidRPr="00FB368F" w:rsidRDefault="0036129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A407F3">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2471CE4D" w14:textId="77777777" w:rsidTr="00A407F3">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67C930D4" w:rsidR="005D4A94" w:rsidRPr="0076238C" w:rsidRDefault="005D4A94" w:rsidP="00002CD6">
            <w:pPr>
              <w:pStyle w:val="ProductList-OfferingBody"/>
              <w:jc w:val="center"/>
            </w:pPr>
            <w:r>
              <w:t>10</w:t>
            </w:r>
            <w:r w:rsidR="00427BA8">
              <w:t xml:space="preserve"> </w:t>
            </w:r>
            <w:r>
              <w:t>%</w:t>
            </w:r>
          </w:p>
        </w:tc>
      </w:tr>
      <w:tr w:rsidR="005D4A94" w:rsidRPr="009D0B2F" w14:paraId="77B55BFD" w14:textId="77777777" w:rsidTr="00A407F3">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2C632808" w:rsidR="005D4A94" w:rsidRPr="0076238C" w:rsidRDefault="005D4A94" w:rsidP="00002CD6">
            <w:pPr>
              <w:pStyle w:val="ProductList-OfferingBody"/>
              <w:jc w:val="center"/>
            </w:pPr>
            <w:r>
              <w:t>25</w:t>
            </w:r>
            <w:r w:rsidR="00427BA8">
              <w:t xml:space="preserve"> </w:t>
            </w:r>
            <w:r>
              <w:t>%</w:t>
            </w:r>
          </w:p>
        </w:tc>
      </w:tr>
    </w:tbl>
    <w:p w14:paraId="0396F9CA" w14:textId="17D0807C" w:rsidR="005D4A94" w:rsidRPr="00FB368F" w:rsidRDefault="003612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69B4AA7" w14:textId="2180A883" w:rsidR="005D4A94" w:rsidRPr="005A6CF1" w:rsidRDefault="005D4A94" w:rsidP="005D4A94">
      <w:pPr>
        <w:pStyle w:val="ProductList-Offering2Heading"/>
        <w:tabs>
          <w:tab w:val="clear" w:pos="360"/>
          <w:tab w:val="clear" w:pos="720"/>
          <w:tab w:val="clear" w:pos="1080"/>
        </w:tabs>
        <w:outlineLvl w:val="2"/>
        <w:rPr>
          <w:sz w:val="24"/>
          <w:szCs w:val="24"/>
          <w:lang w:val="en-US" w:eastAsia="en-US" w:bidi="ar-SA"/>
        </w:rPr>
      </w:pPr>
      <w:bookmarkStart w:id="82" w:name="_Toc416782688"/>
      <w:r w:rsidRPr="005A6CF1">
        <w:rPr>
          <w:sz w:val="24"/>
          <w:szCs w:val="24"/>
          <w:lang w:val="en-US" w:eastAsia="en-US" w:bidi="ar-SA"/>
        </w:rPr>
        <w:t>Service Storage</w:t>
      </w:r>
      <w:bookmarkEnd w:id="82"/>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1E0407">
      <w:pPr>
        <w:pStyle w:val="ProductList-ClauseHeading"/>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3612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3" w:name="_Toc412532213"/>
      <w:bookmarkStart w:id="84" w:name="_Toc416782689"/>
      <w:r w:rsidRPr="005A6CF1">
        <w:rPr>
          <w:sz w:val="24"/>
          <w:szCs w:val="24"/>
          <w:lang w:val="en-US" w:eastAsia="en-US" w:bidi="ar-SA"/>
        </w:rPr>
        <w:t>Service StorSimple</w:t>
      </w:r>
      <w:bookmarkEnd w:id="83"/>
      <w:bookmarkEnd w:id="84"/>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3612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36129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65A763" w14:textId="5840C87E"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5" w:name="_Toc412532214"/>
      <w:bookmarkStart w:id="86" w:name="_Toc416782690"/>
      <w:r w:rsidRPr="005A6CF1">
        <w:rPr>
          <w:sz w:val="24"/>
          <w:szCs w:val="24"/>
          <w:lang w:val="en-US" w:eastAsia="en-US" w:bidi="ar-SA"/>
        </w:rPr>
        <w:t>Service Traffic Manager</w:t>
      </w:r>
      <w:bookmarkEnd w:id="85"/>
      <w:bookmarkEnd w:id="86"/>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3612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36129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7" w:name="_Toc412532215"/>
      <w:bookmarkStart w:id="88" w:name="_Toc416782691"/>
      <w:r w:rsidRPr="005A6CF1">
        <w:rPr>
          <w:sz w:val="24"/>
          <w:szCs w:val="24"/>
          <w:lang w:val="en-US" w:eastAsia="en-US" w:bidi="ar-SA"/>
        </w:rPr>
        <w:t>Machines virtuelles</w:t>
      </w:r>
      <w:bookmarkEnd w:id="87"/>
      <w:bookmarkEnd w:id="88"/>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3612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3612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798068" w14:textId="2CB5443B" w:rsidR="003E32A3" w:rsidRPr="00907C7D" w:rsidRDefault="003E32A3" w:rsidP="003E32A3">
      <w:pPr>
        <w:pStyle w:val="ProductList-Offering2Heading"/>
        <w:tabs>
          <w:tab w:val="clear" w:pos="360"/>
          <w:tab w:val="clear" w:pos="720"/>
          <w:tab w:val="clear" w:pos="1080"/>
        </w:tabs>
        <w:outlineLvl w:val="2"/>
        <w:rPr>
          <w:sz w:val="24"/>
          <w:szCs w:val="24"/>
          <w:lang w:val="en-US" w:eastAsia="en-US" w:bidi="ar-SA"/>
        </w:rPr>
      </w:pPr>
      <w:bookmarkStart w:id="89" w:name="_Toc416782692"/>
      <w:r w:rsidRPr="00907C7D">
        <w:rPr>
          <w:sz w:val="24"/>
          <w:szCs w:val="24"/>
          <w:lang w:val="en-US" w:eastAsia="en-US" w:bidi="ar-SA"/>
        </w:rPr>
        <w:t>Réseau Virtuel</w:t>
      </w:r>
      <w:bookmarkEnd w:id="89"/>
    </w:p>
    <w:p w14:paraId="164019BC" w14:textId="77777777" w:rsidR="003E32A3" w:rsidRPr="00FB368F" w:rsidRDefault="003E32A3" w:rsidP="003E32A3">
      <w:pPr>
        <w:pStyle w:val="ProductList-Body"/>
      </w:pPr>
      <w:r>
        <w:rPr>
          <w:b/>
          <w:color w:val="00188F"/>
        </w:rPr>
        <w:t>Définitions Supplémentaires</w:t>
      </w:r>
      <w:r>
        <w:t> </w:t>
      </w:r>
      <w:r w:rsidRPr="006F32B3">
        <w:rPr>
          <w:b/>
          <w:color w:val="00188F"/>
        </w:rPr>
        <w:t>:</w:t>
      </w:r>
    </w:p>
    <w:p w14:paraId="1C80E61F" w14:textId="7BA5FF48" w:rsidR="003E32A3" w:rsidRPr="00FB368F" w:rsidRDefault="003E32A3" w:rsidP="003E32A3">
      <w:pPr>
        <w:pStyle w:val="ProductList-Body"/>
        <w:spacing w:after="40"/>
      </w:pPr>
      <w:r>
        <w:t>« </w:t>
      </w:r>
      <w:r>
        <w:rPr>
          <w:b/>
          <w:color w:val="00188F"/>
        </w:rPr>
        <w:t>Minutes Disponibles Maximum</w:t>
      </w:r>
      <w:r>
        <w:t> » correspond au nombre total de minutes cumulées au cours d’un mois de facturation pour la Passerelle de Réseau Virtuel, à partir du démarrage de la Passerelle de Réseau Virtuel suite à une action que vous avez initiée jusqu’au moment où vous avez initié une action susceptible de provoquer l’arrêt ou la suppression de la passerelle.</w:t>
      </w:r>
    </w:p>
    <w:p w14:paraId="1808FC2B" w14:textId="77777777" w:rsidR="003E32A3" w:rsidRPr="00FB368F" w:rsidRDefault="003E32A3" w:rsidP="003E32A3">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2BBECD59" w14:textId="77777777" w:rsidR="003E32A3" w:rsidRPr="00FB368F" w:rsidRDefault="003E32A3" w:rsidP="003E32A3">
      <w:pPr>
        <w:pStyle w:val="ProductList-Body"/>
      </w:pPr>
      <w:r>
        <w:t>« </w:t>
      </w:r>
      <w:r>
        <w:rPr>
          <w:b/>
          <w:color w:val="00188F"/>
        </w:rPr>
        <w:t>Passerelle de Réseau Virtuel</w:t>
      </w:r>
      <w:r>
        <w:t> » désigne une passerelle qui facilite la connectivité sur plusieurs sites entre un Réseau Virtuel et un réseau client sur site.</w:t>
      </w:r>
    </w:p>
    <w:p w14:paraId="53266C2B" w14:textId="77777777" w:rsidR="003E32A3" w:rsidRPr="00FB368F" w:rsidRDefault="003E32A3" w:rsidP="003E32A3">
      <w:pPr>
        <w:pStyle w:val="ProductList-Body"/>
      </w:pPr>
    </w:p>
    <w:p w14:paraId="6698225F" w14:textId="524E2748" w:rsidR="003E32A3" w:rsidRPr="00FB368F" w:rsidRDefault="003E32A3" w:rsidP="003E32A3">
      <w:pPr>
        <w:pStyle w:val="ProductList-Body"/>
      </w:pPr>
      <w:r>
        <w:rPr>
          <w:b/>
          <w:color w:val="00188F"/>
        </w:rPr>
        <w:t>Temps d’Indisponibilité</w:t>
      </w:r>
      <w:r>
        <w:t> </w:t>
      </w:r>
      <w:r w:rsidRPr="006F32B3">
        <w:rPr>
          <w:b/>
          <w:color w:val="00188F"/>
        </w:rPr>
        <w:t>:</w:t>
      </w:r>
      <w:r>
        <w:t xml:space="preserve"> nombre de minutes cumulées au cours d’un mois de facturation pendant lesquelles une Passerelle de Réseau Virtuel déployée et démarrée suite à une action que vous avez initiée est restée indisponible pendant plus de trente (30) secondes sans que le problème n’ait été détecté ni ait déclenché une action corrective.</w:t>
      </w:r>
    </w:p>
    <w:p w14:paraId="756B9596" w14:textId="77777777" w:rsidR="003E32A3" w:rsidRPr="00FB368F" w:rsidRDefault="003E32A3" w:rsidP="003E32A3">
      <w:pPr>
        <w:pStyle w:val="ProductList-Body"/>
      </w:pPr>
    </w:p>
    <w:p w14:paraId="3B569E18" w14:textId="1B45DEBC"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04FBC947" w14:textId="77777777" w:rsidR="003E32A3" w:rsidRPr="00FB368F" w:rsidRDefault="003E32A3" w:rsidP="003E32A3">
      <w:pPr>
        <w:pStyle w:val="ProductList-Body"/>
      </w:pPr>
    </w:p>
    <w:p w14:paraId="4A655201" w14:textId="7CBD1001" w:rsidR="003E32A3" w:rsidRPr="00FB368F" w:rsidRDefault="003612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7932AC">
        <w:trPr>
          <w:tblHeader/>
        </w:trPr>
        <w:tc>
          <w:tcPr>
            <w:tcW w:w="5400" w:type="dxa"/>
            <w:shd w:val="clear" w:color="auto" w:fill="0072C6"/>
          </w:tcPr>
          <w:p w14:paraId="41554507" w14:textId="77777777" w:rsidR="003E32A3" w:rsidRPr="001A0074" w:rsidRDefault="003E32A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F46052A" w14:textId="77777777" w:rsidR="003E32A3" w:rsidRPr="001A0074" w:rsidRDefault="003E32A3" w:rsidP="00F439B9">
            <w:pPr>
              <w:pStyle w:val="ProductList-OfferingBody"/>
              <w:keepNext/>
              <w:jc w:val="center"/>
              <w:rPr>
                <w:color w:val="FFFFFF" w:themeColor="background1"/>
              </w:rPr>
            </w:pPr>
            <w:r>
              <w:rPr>
                <w:color w:val="FFFFFF" w:themeColor="background1"/>
              </w:rPr>
              <w:t>Avoir Service</w:t>
            </w:r>
          </w:p>
        </w:tc>
      </w:tr>
      <w:tr w:rsidR="003E32A3" w:rsidRPr="009D0B2F" w14:paraId="1C635362" w14:textId="77777777" w:rsidTr="007932AC">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204D8884" w:rsidR="003E32A3" w:rsidRPr="0076238C" w:rsidRDefault="003E32A3" w:rsidP="00002CD6">
            <w:pPr>
              <w:pStyle w:val="ProductList-OfferingBody"/>
              <w:jc w:val="center"/>
            </w:pPr>
            <w:r>
              <w:t>10</w:t>
            </w:r>
            <w:r w:rsidR="00441B79">
              <w:t xml:space="preserve"> </w:t>
            </w:r>
            <w:r>
              <w:t>%</w:t>
            </w:r>
          </w:p>
        </w:tc>
      </w:tr>
      <w:tr w:rsidR="003E32A3" w:rsidRPr="009D0B2F" w14:paraId="4915861C" w14:textId="77777777" w:rsidTr="007932AC">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597AE59A" w:rsidR="003E32A3" w:rsidRPr="0076238C" w:rsidRDefault="003E32A3" w:rsidP="00002CD6">
            <w:pPr>
              <w:pStyle w:val="ProductList-OfferingBody"/>
              <w:jc w:val="center"/>
            </w:pPr>
            <w:r>
              <w:t>25</w:t>
            </w:r>
            <w:r w:rsidR="00441B79">
              <w:t xml:space="preserve"> </w:t>
            </w:r>
            <w:r>
              <w:t>%</w:t>
            </w:r>
          </w:p>
        </w:tc>
      </w:tr>
    </w:tbl>
    <w:p w14:paraId="31B99392" w14:textId="76CB074E" w:rsidR="003E32A3" w:rsidRPr="00FB368F" w:rsidRDefault="003612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75F17C3" w14:textId="04DBD885" w:rsidR="003E32A3" w:rsidRPr="008E64FF" w:rsidRDefault="003E32A3" w:rsidP="003E32A3">
      <w:pPr>
        <w:pStyle w:val="ProductList-Offering2Heading"/>
        <w:tabs>
          <w:tab w:val="clear" w:pos="360"/>
          <w:tab w:val="clear" w:pos="720"/>
          <w:tab w:val="clear" w:pos="1080"/>
        </w:tabs>
        <w:outlineLvl w:val="2"/>
        <w:rPr>
          <w:sz w:val="24"/>
          <w:szCs w:val="24"/>
          <w:lang w:eastAsia="en-US" w:bidi="ar-SA"/>
        </w:rPr>
      </w:pPr>
      <w:bookmarkStart w:id="90" w:name="_Toc412532217"/>
      <w:bookmarkStart w:id="91" w:name="_Toc416782693"/>
      <w:r w:rsidRPr="008E64FF">
        <w:rPr>
          <w:sz w:val="24"/>
          <w:szCs w:val="24"/>
          <w:lang w:eastAsia="en-US" w:bidi="ar-SA"/>
        </w:rPr>
        <w:t>Visual Studio Online – Service des Plans Utilisateur</w:t>
      </w:r>
      <w:bookmarkEnd w:id="90"/>
      <w:bookmarkEnd w:id="91"/>
    </w:p>
    <w:p w14:paraId="2A7DEEBF" w14:textId="77777777" w:rsidR="003E32A3" w:rsidRPr="00FB368F" w:rsidRDefault="003E32A3" w:rsidP="003E32A3">
      <w:pPr>
        <w:pStyle w:val="ProductList-Body"/>
      </w:pPr>
      <w:r>
        <w:rPr>
          <w:b/>
          <w:color w:val="00188F"/>
        </w:rPr>
        <w:t>Définitions Supplémentaires :</w:t>
      </w:r>
    </w:p>
    <w:p w14:paraId="3C3CD1DB" w14:textId="77777777"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44B8871" w14:textId="77777777" w:rsidR="003E32A3" w:rsidRPr="00FB368F" w:rsidRDefault="003E32A3" w:rsidP="003E32A3">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60BE0E45"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7636683F"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Plans Utilisateur acquis au cours d’un mois de facturation d’un abonnement Microsoft Azure donné.</w:t>
      </w:r>
    </w:p>
    <w:p w14:paraId="204A2A68" w14:textId="2746E1E1" w:rsidR="003E32A3" w:rsidRPr="00FB368F" w:rsidRDefault="003E32A3" w:rsidP="003E32A3">
      <w:pPr>
        <w:pStyle w:val="ProductList-Body"/>
      </w:pPr>
      <w:r>
        <w:t>« </w:t>
      </w:r>
      <w:r>
        <w:rPr>
          <w:b/>
          <w:color w:val="00188F"/>
        </w:rPr>
        <w:t>Plan Utilisateur</w:t>
      </w:r>
      <w:r>
        <w:t> » désigne l’ensemble des options et fonctionnalités sélectionnées pour un utilisateur dans un compte Visual Studio Online dans</w:t>
      </w:r>
      <w:r w:rsidR="003545F3">
        <w:t> </w:t>
      </w:r>
      <w:r>
        <w:t xml:space="preserve">le cadre d’un abonnement Client. Les options et les fonctionnalités du Plan Utilisateur sont décrites sur le site Web suivant : </w:t>
      </w:r>
      <w:hyperlink r:id="rId30" w:history="1">
        <w:r>
          <w:rPr>
            <w:rStyle w:val="Hyperlink"/>
          </w:rPr>
          <w:t>http://www.visualstudio.com</w:t>
        </w:r>
      </w:hyperlink>
      <w:r>
        <w:t>.</w:t>
      </w:r>
    </w:p>
    <w:p w14:paraId="246E3365" w14:textId="2A7A3321"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1984283C" w14:textId="77777777" w:rsidR="003E32A3" w:rsidRPr="00FB368F" w:rsidRDefault="003E32A3" w:rsidP="003E32A3">
      <w:pPr>
        <w:pStyle w:val="ProductList-Body"/>
      </w:pPr>
    </w:p>
    <w:p w14:paraId="32B67BF7" w14:textId="2D08492A"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DBE7724" w14:textId="77777777" w:rsidR="003E32A3" w:rsidRPr="00FB368F" w:rsidRDefault="003E32A3" w:rsidP="003E32A3">
      <w:pPr>
        <w:pStyle w:val="ProductList-Body"/>
      </w:pPr>
    </w:p>
    <w:p w14:paraId="2EED73B3" w14:textId="3FE7ACDC" w:rsidR="003E32A3" w:rsidRPr="00FB368F" w:rsidRDefault="003612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728A9">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3E75A211" w14:textId="77777777" w:rsidTr="00B728A9">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4DC176DC" w:rsidR="003E32A3" w:rsidRPr="0076238C" w:rsidRDefault="003E32A3" w:rsidP="00002CD6">
            <w:pPr>
              <w:pStyle w:val="ProductList-OfferingBody"/>
              <w:jc w:val="center"/>
            </w:pPr>
            <w:r>
              <w:t>10</w:t>
            </w:r>
            <w:r w:rsidR="00E26CBD">
              <w:t xml:space="preserve"> </w:t>
            </w:r>
            <w:r>
              <w:t>%</w:t>
            </w:r>
          </w:p>
        </w:tc>
      </w:tr>
      <w:tr w:rsidR="003E32A3" w:rsidRPr="009D0B2F" w14:paraId="31A681B7" w14:textId="77777777" w:rsidTr="00B728A9">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11F9AD84" w:rsidR="003E32A3" w:rsidRPr="0076238C" w:rsidRDefault="003E32A3" w:rsidP="00002CD6">
            <w:pPr>
              <w:pStyle w:val="ProductList-OfferingBody"/>
              <w:jc w:val="center"/>
            </w:pPr>
            <w:r>
              <w:t>25</w:t>
            </w:r>
            <w:r w:rsidR="00E26CBD">
              <w:t xml:space="preserve"> </w:t>
            </w:r>
            <w:r>
              <w:t>%</w:t>
            </w:r>
          </w:p>
        </w:tc>
      </w:tr>
    </w:tbl>
    <w:p w14:paraId="7A235F5F" w14:textId="7E825DAC" w:rsidR="003E32A3" w:rsidRPr="00FB368F" w:rsidRDefault="003612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0EBC6B" w14:textId="45F6ACBA" w:rsidR="003E32A3" w:rsidRPr="005A6CF1"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2" w:name="_Toc416782694"/>
      <w:r w:rsidRPr="005A6CF1">
        <w:rPr>
          <w:sz w:val="24"/>
          <w:szCs w:val="24"/>
          <w:lang w:val="en-US" w:eastAsia="en-US" w:bidi="ar-SA"/>
        </w:rPr>
        <w:t>Visual Studio Online – Service de Build</w:t>
      </w:r>
      <w:bookmarkEnd w:id="92"/>
    </w:p>
    <w:p w14:paraId="625F26EA" w14:textId="77777777" w:rsidR="003E32A3" w:rsidRPr="00FB368F" w:rsidRDefault="003E32A3" w:rsidP="003E32A3">
      <w:pPr>
        <w:pStyle w:val="ProductList-Body"/>
      </w:pPr>
      <w:r>
        <w:rPr>
          <w:b/>
          <w:color w:val="00188F"/>
        </w:rPr>
        <w:t>Définitions Supplémentaires :</w:t>
      </w:r>
    </w:p>
    <w:p w14:paraId="1FF4A51F" w14:textId="15C703A5"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76F591A"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0EE398CD" w14:textId="77777777" w:rsidR="003E32A3" w:rsidRPr="00FB368F" w:rsidRDefault="003E32A3" w:rsidP="003E32A3">
      <w:pPr>
        <w:pStyle w:val="ProductList-Body"/>
      </w:pPr>
    </w:p>
    <w:p w14:paraId="4BE07430" w14:textId="3534BD6F"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avez initiées au cours de cette minute entraînent l’affichage d’un Code d’Erreur ou ne reçoivent aucune réponse.</w:t>
      </w:r>
    </w:p>
    <w:p w14:paraId="514510B5" w14:textId="77777777" w:rsidR="003E32A3" w:rsidRPr="00FB368F" w:rsidRDefault="003E32A3" w:rsidP="003E32A3">
      <w:pPr>
        <w:pStyle w:val="ProductList-Body"/>
      </w:pPr>
    </w:p>
    <w:p w14:paraId="7CD62528" w14:textId="43540F9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E5C79ED" w14:textId="77777777" w:rsidR="003E32A3" w:rsidRPr="00FB368F" w:rsidRDefault="003E32A3" w:rsidP="003E32A3">
      <w:pPr>
        <w:pStyle w:val="ProductList-Body"/>
      </w:pPr>
    </w:p>
    <w:p w14:paraId="7CBE3F74" w14:textId="5BE575F9" w:rsidR="003E32A3" w:rsidRPr="00FB368F" w:rsidRDefault="003612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744D4F">
        <w:trPr>
          <w:tblHeader/>
        </w:trPr>
        <w:tc>
          <w:tcPr>
            <w:tcW w:w="5400" w:type="dxa"/>
            <w:shd w:val="clear" w:color="auto" w:fill="0072C6"/>
          </w:tcPr>
          <w:p w14:paraId="5C0B4FE3" w14:textId="77777777" w:rsidR="003E32A3" w:rsidRPr="001A0074" w:rsidRDefault="003E32A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904A54F" w14:textId="77777777" w:rsidR="003E32A3" w:rsidRPr="001A0074" w:rsidRDefault="003E32A3" w:rsidP="00F439B9">
            <w:pPr>
              <w:pStyle w:val="ProductList-OfferingBody"/>
              <w:keepNext/>
              <w:jc w:val="center"/>
              <w:rPr>
                <w:color w:val="FFFFFF" w:themeColor="background1"/>
              </w:rPr>
            </w:pPr>
            <w:r>
              <w:rPr>
                <w:color w:val="FFFFFF" w:themeColor="background1"/>
              </w:rPr>
              <w:t>Avoir Service</w:t>
            </w:r>
          </w:p>
        </w:tc>
      </w:tr>
      <w:tr w:rsidR="003E32A3" w:rsidRPr="009D0B2F" w14:paraId="0E0607E8" w14:textId="77777777" w:rsidTr="00744D4F">
        <w:tc>
          <w:tcPr>
            <w:tcW w:w="5400" w:type="dxa"/>
          </w:tcPr>
          <w:p w14:paraId="6C53A9EC" w14:textId="2A7E6901" w:rsidR="003E32A3" w:rsidRPr="0076238C" w:rsidRDefault="003E32A3" w:rsidP="00F439B9">
            <w:pPr>
              <w:pStyle w:val="ProductList-OfferingBody"/>
              <w:keepNext/>
              <w:jc w:val="center"/>
            </w:pPr>
            <w:r>
              <w:t>&lt; 99,9 %</w:t>
            </w:r>
          </w:p>
        </w:tc>
        <w:tc>
          <w:tcPr>
            <w:tcW w:w="5400" w:type="dxa"/>
          </w:tcPr>
          <w:p w14:paraId="60AAA843" w14:textId="372A156A" w:rsidR="003E32A3" w:rsidRPr="0076238C" w:rsidRDefault="003E32A3" w:rsidP="00F439B9">
            <w:pPr>
              <w:pStyle w:val="ProductList-OfferingBody"/>
              <w:keepNext/>
              <w:jc w:val="center"/>
            </w:pPr>
            <w:r>
              <w:t>10</w:t>
            </w:r>
            <w:r w:rsidR="0017104B">
              <w:t xml:space="preserve"> </w:t>
            </w:r>
            <w:r>
              <w:t>%</w:t>
            </w:r>
          </w:p>
        </w:tc>
      </w:tr>
      <w:tr w:rsidR="003E32A3" w:rsidRPr="009D0B2F" w14:paraId="5304B385" w14:textId="77777777" w:rsidTr="00744D4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64845494" w:rsidR="003E32A3" w:rsidRPr="0076238C" w:rsidRDefault="003E32A3" w:rsidP="00002CD6">
            <w:pPr>
              <w:pStyle w:val="ProductList-OfferingBody"/>
              <w:jc w:val="center"/>
            </w:pPr>
            <w:r>
              <w:t>25</w:t>
            </w:r>
            <w:r w:rsidR="0017104B">
              <w:t xml:space="preserve"> </w:t>
            </w:r>
            <w:r>
              <w:t>%</w:t>
            </w:r>
          </w:p>
        </w:tc>
      </w:tr>
    </w:tbl>
    <w:p w14:paraId="79B67423" w14:textId="319C2DFB" w:rsidR="003E32A3" w:rsidRPr="00FB368F" w:rsidRDefault="003612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92520E" w14:textId="623A3ACE" w:rsidR="003E32A3" w:rsidRPr="008E64FF" w:rsidRDefault="003E32A3" w:rsidP="003E32A3">
      <w:pPr>
        <w:pStyle w:val="ProductList-Offering2Heading"/>
        <w:tabs>
          <w:tab w:val="clear" w:pos="360"/>
          <w:tab w:val="clear" w:pos="720"/>
          <w:tab w:val="clear" w:pos="1080"/>
        </w:tabs>
        <w:outlineLvl w:val="2"/>
        <w:rPr>
          <w:sz w:val="24"/>
          <w:szCs w:val="24"/>
          <w:lang w:eastAsia="en-US" w:bidi="ar-SA"/>
        </w:rPr>
      </w:pPr>
      <w:bookmarkStart w:id="93" w:name="_Toc416782695"/>
      <w:r w:rsidRPr="008E64FF">
        <w:rPr>
          <w:sz w:val="24"/>
          <w:szCs w:val="24"/>
          <w:lang w:eastAsia="en-US" w:bidi="ar-SA"/>
        </w:rPr>
        <w:t>Visual Studio Online – Service de Test de Chargement</w:t>
      </w:r>
      <w:bookmarkEnd w:id="93"/>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3612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3612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7BB448" w14:textId="2EA2F8B6" w:rsidR="003E32A3" w:rsidRPr="005A6CF1"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4" w:name="_Toc412532220"/>
      <w:bookmarkStart w:id="95" w:name="_Toc416782696"/>
      <w:r w:rsidRPr="005A6CF1">
        <w:rPr>
          <w:sz w:val="24"/>
          <w:szCs w:val="24"/>
          <w:lang w:val="en-US" w:eastAsia="en-US" w:bidi="ar-SA"/>
        </w:rPr>
        <w:t>Service Websites</w:t>
      </w:r>
      <w:bookmarkEnd w:id="94"/>
      <w:bookmarkEnd w:id="95"/>
    </w:p>
    <w:p w14:paraId="03C01B55" w14:textId="77777777" w:rsidR="003E32A3" w:rsidRPr="00FB368F" w:rsidRDefault="003E32A3" w:rsidP="003E32A3">
      <w:pPr>
        <w:pStyle w:val="ProductList-Body"/>
      </w:pPr>
      <w:r>
        <w:rPr>
          <w:b/>
          <w:color w:val="00188F"/>
        </w:rPr>
        <w:t>Définitions Supplémentaires :</w:t>
      </w:r>
    </w:p>
    <w:p w14:paraId="7C21AD9A" w14:textId="284841B8" w:rsidR="003E32A3" w:rsidRPr="00FB368F" w:rsidRDefault="003E32A3" w:rsidP="003E32A3">
      <w:pPr>
        <w:pStyle w:val="ProductList-Body"/>
        <w:spacing w:after="40"/>
      </w:pPr>
      <w:r>
        <w:t>« </w:t>
      </w:r>
      <w:r>
        <w:rPr>
          <w:b/>
          <w:color w:val="00188F"/>
        </w:rPr>
        <w:t>Minutes de Déploiement</w:t>
      </w:r>
      <w:r>
        <w:t> » correspond au nombre total de minutes pendant lesquelles un Site Web donné a été configuré pour s’exécuter dans Microsoft Azure au cours d’un mois de facturation. Ce nombre est calculé à partir de la création d’un Site Web ou de l’action que vous avez initiée pour exécuter le Site Web jusqu’au moment où vous avez initié une action susceptible de provoquer l’arrêt ou la suppression du Site Web.</w:t>
      </w:r>
    </w:p>
    <w:p w14:paraId="330DEAC0"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Sites Web que vous déployez au cours d’un mois de facturation d’un abonnement Microsoft Azure donné.</w:t>
      </w:r>
    </w:p>
    <w:p w14:paraId="37F3A0B1" w14:textId="77777777" w:rsidR="003E32A3" w:rsidRPr="00FB368F" w:rsidRDefault="003E32A3" w:rsidP="003E32A3">
      <w:pPr>
        <w:pStyle w:val="ProductList-Body"/>
      </w:pPr>
      <w:r>
        <w:t>« </w:t>
      </w:r>
      <w:r>
        <w:rPr>
          <w:b/>
          <w:color w:val="00188F"/>
        </w:rPr>
        <w:t>Site Web</w:t>
      </w:r>
      <w:r>
        <w:t> » désigne un site Web que vous déployez dans le cadre du Service Websites. Il n’inclut pas ceux déployés dans le cadre des Services de Sites Web Azure Gratuits et Partagés.</w:t>
      </w:r>
    </w:p>
    <w:p w14:paraId="0804E550" w14:textId="770DEFD4"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Sites Web que vous déployez au titre d’un abonnement Microsoft Azure donné, pendant lesquelles un Site Web n’est pas disponible. Une minute est comptabilisée dans le Temps d’Indisponibilité d’un Site Web lorsque la connectivité est perdue pendant cette minute entre le Site Web et une passerelle Internet de Microsoft.</w:t>
      </w:r>
    </w:p>
    <w:p w14:paraId="79C6F0BE" w14:textId="77777777" w:rsidR="003E32A3" w:rsidRPr="00FB368F" w:rsidRDefault="003E32A3" w:rsidP="003E32A3">
      <w:pPr>
        <w:pStyle w:val="ProductList-Body"/>
      </w:pPr>
    </w:p>
    <w:p w14:paraId="3EDDEAE8" w14:textId="6CB69CDC"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898CA3" w14:textId="77777777" w:rsidR="003E32A3" w:rsidRPr="00FB368F" w:rsidRDefault="003E32A3" w:rsidP="003E32A3">
      <w:pPr>
        <w:pStyle w:val="ProductList-Body"/>
      </w:pPr>
    </w:p>
    <w:p w14:paraId="51E5388F" w14:textId="708EA0E8" w:rsidR="003E32A3" w:rsidRPr="00FB368F" w:rsidRDefault="003612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354E3">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157FA7">
        <w:trPr>
          <w:tblHeader/>
        </w:trPr>
        <w:tc>
          <w:tcPr>
            <w:tcW w:w="5400" w:type="dxa"/>
            <w:shd w:val="clear" w:color="auto" w:fill="0072C6"/>
          </w:tcPr>
          <w:p w14:paraId="5C011F7C" w14:textId="77777777" w:rsidR="003E32A3" w:rsidRPr="001A0074" w:rsidRDefault="003E32A3"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221C512" w14:textId="77777777" w:rsidR="003E32A3" w:rsidRPr="001A0074" w:rsidRDefault="003E32A3" w:rsidP="003354E3">
            <w:pPr>
              <w:pStyle w:val="ProductList-OfferingBody"/>
              <w:keepNext/>
              <w:jc w:val="center"/>
              <w:rPr>
                <w:color w:val="FFFFFF" w:themeColor="background1"/>
              </w:rPr>
            </w:pPr>
            <w:r>
              <w:rPr>
                <w:color w:val="FFFFFF" w:themeColor="background1"/>
              </w:rPr>
              <w:t>Avoir Service</w:t>
            </w:r>
          </w:p>
        </w:tc>
      </w:tr>
      <w:tr w:rsidR="003E32A3" w:rsidRPr="009D0B2F" w14:paraId="33203C7D" w14:textId="77777777" w:rsidTr="00157FA7">
        <w:tc>
          <w:tcPr>
            <w:tcW w:w="5400" w:type="dxa"/>
          </w:tcPr>
          <w:p w14:paraId="0064B31E" w14:textId="5961675E" w:rsidR="003E32A3" w:rsidRPr="0076238C" w:rsidRDefault="003E32A3" w:rsidP="003354E3">
            <w:pPr>
              <w:pStyle w:val="ProductList-OfferingBody"/>
              <w:keepNext/>
              <w:jc w:val="center"/>
            </w:pPr>
            <w:r>
              <w:t>&lt; 99,95 %</w:t>
            </w:r>
          </w:p>
        </w:tc>
        <w:tc>
          <w:tcPr>
            <w:tcW w:w="5400" w:type="dxa"/>
          </w:tcPr>
          <w:p w14:paraId="323840F1" w14:textId="73038DC6" w:rsidR="003E32A3" w:rsidRPr="0076238C" w:rsidRDefault="003E32A3" w:rsidP="003354E3">
            <w:pPr>
              <w:pStyle w:val="ProductList-OfferingBody"/>
              <w:keepNext/>
              <w:jc w:val="center"/>
            </w:pPr>
            <w:r>
              <w:t>10</w:t>
            </w:r>
            <w:r w:rsidR="00427BA8">
              <w:t xml:space="preserve"> </w:t>
            </w:r>
            <w:r>
              <w:t>%</w:t>
            </w:r>
          </w:p>
        </w:tc>
      </w:tr>
      <w:tr w:rsidR="003E32A3" w:rsidRPr="009D0B2F" w14:paraId="6D95296C" w14:textId="77777777" w:rsidTr="00157FA7">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6A62E115" w:rsidR="003E32A3" w:rsidRPr="0076238C" w:rsidRDefault="003E32A3" w:rsidP="00002CD6">
            <w:pPr>
              <w:pStyle w:val="ProductList-OfferingBody"/>
              <w:jc w:val="center"/>
            </w:pPr>
            <w:r>
              <w:t>25</w:t>
            </w:r>
            <w:r w:rsidR="00427BA8">
              <w:t xml:space="preserve"> </w:t>
            </w:r>
            <w:r>
              <w:t>%</w:t>
            </w:r>
          </w:p>
        </w:tc>
      </w:tr>
    </w:tbl>
    <w:p w14:paraId="3F38EBF3" w14:textId="4AFDF792" w:rsidR="003A16EB" w:rsidRPr="00FB368F" w:rsidRDefault="0036129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96" w:name="_Toc416782697"/>
      <w:r w:rsidRPr="005A6CF1">
        <w:rPr>
          <w:lang w:val="en-US" w:eastAsia="en-US" w:bidi="ar-SA"/>
        </w:rPr>
        <w:t>Autres services en ligne</w:t>
      </w:r>
      <w:bookmarkEnd w:id="96"/>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97" w:name="_Toc416782698"/>
      <w:r w:rsidRPr="005A6CF1">
        <w:rPr>
          <w:lang w:val="en-US" w:eastAsia="en-US" w:bidi="ar-SA"/>
        </w:rPr>
        <w:t>Bing Maps Plateforme Entreprise</w:t>
      </w:r>
      <w:bookmarkEnd w:id="97"/>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3612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3612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98" w:name="_Toc413421605"/>
      <w:bookmarkStart w:id="99" w:name="_Toc416782699"/>
      <w:r w:rsidRPr="008E64FF">
        <w:rPr>
          <w:lang w:eastAsia="en-US" w:bidi="ar-SA"/>
        </w:rPr>
        <w:t>Bing Maps Gestion des ressources mobiles</w:t>
      </w:r>
      <w:bookmarkEnd w:id="98"/>
      <w:bookmarkEnd w:id="99"/>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36129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36129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3B50FF31" w:rsidR="00515EF4" w:rsidRPr="008E64FF" w:rsidRDefault="00515EF4" w:rsidP="00515EF4">
      <w:pPr>
        <w:pStyle w:val="ProductList-Offering2Heading"/>
        <w:tabs>
          <w:tab w:val="clear" w:pos="360"/>
          <w:tab w:val="clear" w:pos="720"/>
          <w:tab w:val="clear" w:pos="1080"/>
        </w:tabs>
        <w:outlineLvl w:val="2"/>
        <w:rPr>
          <w:lang w:eastAsia="en-US" w:bidi="ar-SA"/>
        </w:rPr>
      </w:pPr>
      <w:bookmarkStart w:id="100" w:name="_Toc416782700"/>
      <w:r w:rsidRPr="008E64FF">
        <w:rPr>
          <w:lang w:eastAsia="en-US" w:bidi="ar-SA"/>
        </w:rPr>
        <w:t>Power BI pour Office 365</w:t>
      </w:r>
      <w:bookmarkEnd w:id="100"/>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3612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3612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01" w:name="_Toc416782701"/>
      <w:r w:rsidRPr="005A6CF1">
        <w:rPr>
          <w:lang w:val="en-US" w:eastAsia="en-US" w:bidi="ar-SA"/>
        </w:rPr>
        <w:t>API Translator</w:t>
      </w:r>
      <w:bookmarkEnd w:id="101"/>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3612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3612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02" w:name="AppendixA"/>
      <w:bookmarkStart w:id="103" w:name="_Toc416782702"/>
      <w:r w:rsidRPr="008E64FF">
        <w:rPr>
          <w:lang w:eastAsia="en-US" w:bidi="ar-SA"/>
        </w:rPr>
        <w:t>Annexe A</w:t>
      </w:r>
      <w:bookmarkEnd w:id="102"/>
      <w:r w:rsidRPr="008E64FF">
        <w:rPr>
          <w:lang w:eastAsia="en-US" w:bidi="ar-SA"/>
        </w:rPr>
        <w:t xml:space="preserve"> – Engagement de Niveau de Service pour la Détection et le Blocage de Virus, l’Efficacité du Filtre de Courriers Indésirables ou les Faux Positifs</w:t>
      </w:r>
      <w:bookmarkEnd w:id="103"/>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04" w:name="AppendixB"/>
      <w:bookmarkStart w:id="105" w:name="_Toc416782703"/>
      <w:r w:rsidRPr="008E64FF">
        <w:rPr>
          <w:lang w:eastAsia="en-US" w:bidi="ar-SA"/>
        </w:rPr>
        <w:t>Annexe B</w:t>
      </w:r>
      <w:bookmarkEnd w:id="104"/>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05"/>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E810" w14:textId="77777777" w:rsidR="0036129B" w:rsidRDefault="0036129B" w:rsidP="009A573F">
      <w:pPr>
        <w:spacing w:after="0" w:line="240" w:lineRule="auto"/>
      </w:pPr>
      <w:r>
        <w:separator/>
      </w:r>
    </w:p>
  </w:endnote>
  <w:endnote w:type="continuationSeparator" w:id="0">
    <w:p w14:paraId="711B1319" w14:textId="77777777" w:rsidR="0036129B" w:rsidRDefault="0036129B" w:rsidP="009A573F">
      <w:pPr>
        <w:spacing w:after="0" w:line="240" w:lineRule="auto"/>
      </w:pPr>
      <w:r>
        <w:continuationSeparator/>
      </w:r>
    </w:p>
  </w:endnote>
  <w:endnote w:type="continuationNotice" w:id="1">
    <w:p w14:paraId="645A35A4" w14:textId="77777777" w:rsidR="0036129B" w:rsidRDefault="00361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90E1" w14:textId="77777777" w:rsidR="00EA2941" w:rsidRDefault="00EA294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156E21C4"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7A380923"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302D3131"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6F43D20C" w14:textId="77777777" w:rsidR="00427BA8" w:rsidRDefault="00427BA8"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52A991D6"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6A7DE9B2"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4442CBDB"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533AF096" w14:textId="77777777" w:rsidR="00427BA8" w:rsidRDefault="00427BA8"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373B7FF7"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6D7F3E9B"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02D58744"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6DCBAE51" w14:textId="77777777" w:rsidR="00427BA8" w:rsidRDefault="00427BA8"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4C83A043"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77BDF580"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4B004F23"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2DDA93A9" w14:textId="77777777" w:rsidR="00427BA8" w:rsidRDefault="00427BA8"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0BF46CDE"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3A392A47"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2F5C0452"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1258BADE" w14:textId="77777777" w:rsidR="00427BA8" w:rsidRDefault="00427BA8"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0AA4721A"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397ED8DA"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2FC3C42A"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7859250F" w14:textId="77777777" w:rsidR="00427BA8" w:rsidRDefault="00427BA8"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27BA8" w:rsidRPr="00C76DF3" w14:paraId="15A2D634" w14:textId="77777777" w:rsidTr="00CA55D9">
      <w:tc>
        <w:tcPr>
          <w:tcW w:w="1255" w:type="dxa"/>
          <w:shd w:val="clear" w:color="auto" w:fill="BFBFBF" w:themeFill="background1" w:themeFillShade="BF"/>
          <w:vAlign w:val="center"/>
        </w:tcPr>
        <w:p w14:paraId="2DBC2034" w14:textId="77777777" w:rsidR="00427BA8" w:rsidRPr="00C76DF3" w:rsidRDefault="0036129B" w:rsidP="00370875">
          <w:pPr>
            <w:pStyle w:val="ProductList-OfferingBody"/>
            <w:ind w:left="-77" w:right="-73"/>
            <w:jc w:val="center"/>
            <w:rPr>
              <w:color w:val="808080" w:themeColor="background1" w:themeShade="80"/>
              <w:sz w:val="14"/>
              <w:szCs w:val="14"/>
            </w:rPr>
          </w:pPr>
          <w:hyperlink w:anchor="TableOfContents" w:history="1">
            <w:r w:rsidR="00427BA8">
              <w:rPr>
                <w:rStyle w:val="Hyperlink"/>
                <w:sz w:val="14"/>
                <w:szCs w:val="14"/>
              </w:rPr>
              <w:t>Table des matières</w:t>
            </w:r>
          </w:hyperlink>
        </w:p>
      </w:tc>
      <w:tc>
        <w:tcPr>
          <w:tcW w:w="181" w:type="dxa"/>
          <w:tcBorders>
            <w:top w:val="nil"/>
            <w:bottom w:val="nil"/>
          </w:tcBorders>
          <w:vAlign w:val="center"/>
        </w:tcPr>
        <w:p w14:paraId="252C3380" w14:textId="77777777" w:rsidR="00427BA8" w:rsidRPr="00C76DF3" w:rsidRDefault="00427B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troduction" w:history="1">
            <w:r w:rsidR="00427BA8">
              <w:rPr>
                <w:rStyle w:val="Hyperlink"/>
                <w:sz w:val="14"/>
                <w:szCs w:val="14"/>
              </w:rPr>
              <w:t>Introduction</w:t>
            </w:r>
          </w:hyperlink>
        </w:p>
      </w:tc>
      <w:tc>
        <w:tcPr>
          <w:tcW w:w="182" w:type="dxa"/>
          <w:tcBorders>
            <w:top w:val="nil"/>
            <w:bottom w:val="nil"/>
          </w:tcBorders>
          <w:vAlign w:val="center"/>
        </w:tcPr>
        <w:p w14:paraId="0F966FD9" w14:textId="77777777" w:rsidR="00427BA8" w:rsidRPr="00C76DF3" w:rsidRDefault="00427B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27BA8" w:rsidRPr="00C76DF3" w:rsidRDefault="0036129B" w:rsidP="00370875">
          <w:pPr>
            <w:pStyle w:val="ProductList-OfferingBody"/>
            <w:ind w:left="-72" w:right="-75"/>
            <w:jc w:val="center"/>
            <w:rPr>
              <w:color w:val="808080" w:themeColor="background1" w:themeShade="80"/>
              <w:sz w:val="14"/>
              <w:szCs w:val="14"/>
            </w:rPr>
          </w:pPr>
          <w:hyperlink w:anchor="Glossary" w:history="1">
            <w:r w:rsidR="00427BA8">
              <w:rPr>
                <w:rStyle w:val="Hyperlink"/>
                <w:sz w:val="14"/>
                <w:szCs w:val="14"/>
              </w:rPr>
              <w:t>Glossaire</w:t>
            </w:r>
          </w:hyperlink>
          <w:r w:rsidR="00427BA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27BA8" w:rsidRPr="00C76DF3" w:rsidRDefault="00427B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27BA8" w:rsidRPr="00C76DF3" w:rsidRDefault="0036129B" w:rsidP="00370875">
          <w:pPr>
            <w:pStyle w:val="ProductList-OfferingBody"/>
            <w:ind w:left="-72" w:right="-77"/>
            <w:jc w:val="center"/>
            <w:rPr>
              <w:color w:val="808080" w:themeColor="background1" w:themeShade="80"/>
              <w:sz w:val="14"/>
              <w:szCs w:val="14"/>
            </w:rPr>
          </w:pPr>
          <w:hyperlink w:anchor="LicenseTerms" w:history="1">
            <w:r w:rsidR="00427BA8">
              <w:rPr>
                <w:rStyle w:val="Hyperlink"/>
                <w:sz w:val="14"/>
                <w:szCs w:val="14"/>
              </w:rPr>
              <w:t>Conditions de Licence</w:t>
            </w:r>
          </w:hyperlink>
        </w:p>
      </w:tc>
      <w:tc>
        <w:tcPr>
          <w:tcW w:w="185" w:type="dxa"/>
          <w:tcBorders>
            <w:top w:val="nil"/>
            <w:bottom w:val="nil"/>
          </w:tcBorders>
          <w:vAlign w:val="center"/>
        </w:tcPr>
        <w:p w14:paraId="69800AFB"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27BA8" w:rsidRPr="00C76DF3" w:rsidRDefault="0036129B" w:rsidP="00370875">
          <w:pPr>
            <w:pStyle w:val="ProductList-OfferingBody"/>
            <w:ind w:left="-72" w:right="-77"/>
            <w:jc w:val="center"/>
            <w:rPr>
              <w:color w:val="808080" w:themeColor="background1" w:themeShade="80"/>
              <w:sz w:val="14"/>
              <w:szCs w:val="14"/>
            </w:rPr>
          </w:pPr>
          <w:hyperlink w:anchor="Software" w:history="1">
            <w:r w:rsidR="00427BA8">
              <w:rPr>
                <w:rStyle w:val="Hyperlink"/>
                <w:sz w:val="14"/>
                <w:szCs w:val="14"/>
              </w:rPr>
              <w:t>Logiciel</w:t>
            </w:r>
          </w:hyperlink>
        </w:p>
      </w:tc>
      <w:tc>
        <w:tcPr>
          <w:tcW w:w="180" w:type="dxa"/>
          <w:tcBorders>
            <w:top w:val="nil"/>
            <w:bottom w:val="nil"/>
          </w:tcBorders>
        </w:tcPr>
        <w:p w14:paraId="4F6F3066" w14:textId="77777777" w:rsidR="00427BA8" w:rsidRPr="00C76DF3" w:rsidRDefault="00427B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27BA8" w:rsidRPr="00C76DF3" w:rsidRDefault="0036129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27BA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27BA8" w:rsidRPr="00C76DF3" w:rsidRDefault="0036129B" w:rsidP="00370875">
          <w:pPr>
            <w:pStyle w:val="ProductList-OfferingBody"/>
            <w:ind w:left="-72" w:right="-76"/>
            <w:jc w:val="center"/>
            <w:rPr>
              <w:color w:val="808080" w:themeColor="background1" w:themeShade="80"/>
              <w:sz w:val="14"/>
              <w:szCs w:val="14"/>
            </w:rPr>
          </w:pPr>
          <w:hyperlink w:anchor="AppendixA" w:history="1">
            <w:r w:rsidR="00427BA8">
              <w:rPr>
                <w:rStyle w:val="Hyperlink"/>
                <w:sz w:val="14"/>
                <w:szCs w:val="14"/>
              </w:rPr>
              <w:t>Annexes</w:t>
            </w:r>
          </w:hyperlink>
        </w:p>
      </w:tc>
      <w:tc>
        <w:tcPr>
          <w:tcW w:w="184" w:type="dxa"/>
          <w:tcBorders>
            <w:top w:val="nil"/>
            <w:bottom w:val="nil"/>
          </w:tcBorders>
          <w:vAlign w:val="center"/>
        </w:tcPr>
        <w:p w14:paraId="4CB1671F" w14:textId="77777777" w:rsidR="00427BA8" w:rsidRPr="00C76DF3" w:rsidRDefault="00427B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dex" w:history="1">
            <w:r w:rsidR="00427BA8">
              <w:rPr>
                <w:rStyle w:val="Hyperlink"/>
                <w:sz w:val="14"/>
                <w:szCs w:val="14"/>
              </w:rPr>
              <w:t>Index</w:t>
            </w:r>
          </w:hyperlink>
        </w:p>
      </w:tc>
    </w:tr>
  </w:tbl>
  <w:p w14:paraId="23003BC5" w14:textId="77777777" w:rsidR="00427BA8" w:rsidRDefault="00427BA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27BA8" w:rsidRDefault="00427BA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45C12127" w14:textId="77777777" w:rsidTr="00BD5C9E">
      <w:tc>
        <w:tcPr>
          <w:tcW w:w="2070" w:type="dxa"/>
          <w:shd w:val="clear" w:color="auto" w:fill="BFBFBF" w:themeFill="background1" w:themeFillShade="BF"/>
          <w:vAlign w:val="center"/>
        </w:tcPr>
        <w:p w14:paraId="5FE24522" w14:textId="06FAA846" w:rsidR="00427BA8" w:rsidRPr="00C76DF3" w:rsidRDefault="0036129B"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bottom w:val="nil"/>
          </w:tcBorders>
          <w:vAlign w:val="center"/>
        </w:tcPr>
        <w:p w14:paraId="06832330" w14:textId="77777777" w:rsidR="00427BA8" w:rsidRPr="00C76DF3" w:rsidRDefault="00427BA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427BA8" w:rsidRPr="00C76DF3" w:rsidRDefault="0036129B"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720EDAA8" w14:textId="77777777" w:rsidR="00427BA8" w:rsidRPr="00C76DF3" w:rsidRDefault="00427BA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427BA8" w:rsidRPr="00C76DF3" w:rsidRDefault="0036129B"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4C79DB56" w14:textId="77777777" w:rsidR="00427BA8" w:rsidRPr="00C76DF3" w:rsidRDefault="00427BA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427BA8" w:rsidRPr="00C76DF3" w:rsidRDefault="0036129B"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2F8E13E0" w14:textId="77777777" w:rsidR="00427BA8" w:rsidRPr="00C76DF3" w:rsidRDefault="00427BA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427BA8" w:rsidRPr="00C76DF3" w:rsidRDefault="0036129B"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1D21B767" w14:textId="77777777" w:rsidR="00427BA8" w:rsidRDefault="00427BA8"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27BA8" w:rsidRPr="00C76DF3" w14:paraId="0520C738" w14:textId="77777777" w:rsidTr="00CA55D9">
      <w:tc>
        <w:tcPr>
          <w:tcW w:w="1255" w:type="dxa"/>
          <w:shd w:val="clear" w:color="auto" w:fill="BFBFBF" w:themeFill="background1" w:themeFillShade="BF"/>
          <w:vAlign w:val="center"/>
        </w:tcPr>
        <w:p w14:paraId="78CD2218" w14:textId="77777777" w:rsidR="00427BA8" w:rsidRPr="00C76DF3" w:rsidRDefault="0036129B" w:rsidP="00370875">
          <w:pPr>
            <w:pStyle w:val="ProductList-OfferingBody"/>
            <w:ind w:left="-77" w:right="-73"/>
            <w:jc w:val="center"/>
            <w:rPr>
              <w:color w:val="808080" w:themeColor="background1" w:themeShade="80"/>
              <w:sz w:val="14"/>
              <w:szCs w:val="14"/>
            </w:rPr>
          </w:pPr>
          <w:hyperlink w:anchor="TableOfContents" w:history="1">
            <w:r w:rsidR="00427BA8">
              <w:rPr>
                <w:rStyle w:val="Hyperlink"/>
                <w:sz w:val="14"/>
                <w:szCs w:val="14"/>
              </w:rPr>
              <w:t>Table des matières</w:t>
            </w:r>
          </w:hyperlink>
        </w:p>
      </w:tc>
      <w:tc>
        <w:tcPr>
          <w:tcW w:w="181" w:type="dxa"/>
          <w:tcBorders>
            <w:top w:val="nil"/>
            <w:bottom w:val="nil"/>
          </w:tcBorders>
          <w:vAlign w:val="center"/>
        </w:tcPr>
        <w:p w14:paraId="70A1EB6D" w14:textId="77777777" w:rsidR="00427BA8" w:rsidRPr="00C76DF3" w:rsidRDefault="00427B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troduction" w:history="1">
            <w:r w:rsidR="00427BA8">
              <w:rPr>
                <w:rStyle w:val="Hyperlink"/>
                <w:sz w:val="14"/>
                <w:szCs w:val="14"/>
              </w:rPr>
              <w:t>Introduction</w:t>
            </w:r>
          </w:hyperlink>
        </w:p>
      </w:tc>
      <w:tc>
        <w:tcPr>
          <w:tcW w:w="182" w:type="dxa"/>
          <w:tcBorders>
            <w:top w:val="nil"/>
            <w:bottom w:val="nil"/>
          </w:tcBorders>
          <w:vAlign w:val="center"/>
        </w:tcPr>
        <w:p w14:paraId="1BEA070D" w14:textId="77777777" w:rsidR="00427BA8" w:rsidRPr="00C76DF3" w:rsidRDefault="00427B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27BA8" w:rsidRPr="00C76DF3" w:rsidRDefault="0036129B" w:rsidP="00370875">
          <w:pPr>
            <w:pStyle w:val="ProductList-OfferingBody"/>
            <w:ind w:left="-72" w:right="-75"/>
            <w:jc w:val="center"/>
            <w:rPr>
              <w:color w:val="808080" w:themeColor="background1" w:themeShade="80"/>
              <w:sz w:val="14"/>
              <w:szCs w:val="14"/>
            </w:rPr>
          </w:pPr>
          <w:hyperlink w:anchor="LicenseTerms" w:history="1">
            <w:r w:rsidR="00427BA8">
              <w:rPr>
                <w:rStyle w:val="Hyperlink"/>
                <w:sz w:val="14"/>
                <w:szCs w:val="14"/>
              </w:rPr>
              <w:t>Conditions de Licence</w:t>
            </w:r>
          </w:hyperlink>
        </w:p>
      </w:tc>
      <w:tc>
        <w:tcPr>
          <w:tcW w:w="183" w:type="dxa"/>
          <w:tcBorders>
            <w:top w:val="nil"/>
            <w:bottom w:val="nil"/>
          </w:tcBorders>
          <w:vAlign w:val="center"/>
        </w:tcPr>
        <w:p w14:paraId="0B872E91" w14:textId="77777777" w:rsidR="00427BA8" w:rsidRPr="00C76DF3" w:rsidRDefault="00427B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27BA8" w:rsidRPr="00C76DF3" w:rsidRDefault="0036129B" w:rsidP="00370875">
          <w:pPr>
            <w:pStyle w:val="ProductList-OfferingBody"/>
            <w:ind w:left="-72" w:right="-77"/>
            <w:jc w:val="center"/>
            <w:rPr>
              <w:color w:val="808080" w:themeColor="background1" w:themeShade="80"/>
              <w:sz w:val="14"/>
              <w:szCs w:val="14"/>
            </w:rPr>
          </w:pPr>
          <w:hyperlink w:anchor="Software" w:history="1">
            <w:r w:rsidR="00427BA8">
              <w:rPr>
                <w:rStyle w:val="Hyperlink"/>
                <w:sz w:val="14"/>
                <w:szCs w:val="14"/>
              </w:rPr>
              <w:t>Logiciel</w:t>
            </w:r>
          </w:hyperlink>
        </w:p>
      </w:tc>
      <w:tc>
        <w:tcPr>
          <w:tcW w:w="185" w:type="dxa"/>
          <w:tcBorders>
            <w:top w:val="nil"/>
            <w:bottom w:val="nil"/>
          </w:tcBorders>
          <w:vAlign w:val="center"/>
        </w:tcPr>
        <w:p w14:paraId="408E6BFE"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27BA8" w:rsidRPr="00C76DF3" w:rsidRDefault="0036129B" w:rsidP="00370875">
          <w:pPr>
            <w:pStyle w:val="ProductList-OfferingBody"/>
            <w:ind w:left="-72" w:right="-77"/>
            <w:jc w:val="center"/>
            <w:rPr>
              <w:color w:val="808080" w:themeColor="background1" w:themeShade="80"/>
              <w:sz w:val="14"/>
              <w:szCs w:val="14"/>
            </w:rPr>
          </w:pPr>
          <w:hyperlink w:anchor="OnlineServices" w:history="1">
            <w:r w:rsidR="00427BA8">
              <w:rPr>
                <w:rStyle w:val="Hyperlink"/>
                <w:sz w:val="14"/>
                <w:szCs w:val="14"/>
              </w:rPr>
              <w:t>Services en Ligne</w:t>
            </w:r>
          </w:hyperlink>
        </w:p>
      </w:tc>
      <w:tc>
        <w:tcPr>
          <w:tcW w:w="180" w:type="dxa"/>
          <w:tcBorders>
            <w:top w:val="nil"/>
            <w:bottom w:val="nil"/>
          </w:tcBorders>
        </w:tcPr>
        <w:p w14:paraId="360EA458" w14:textId="77777777" w:rsidR="00427BA8" w:rsidRPr="00C76DF3" w:rsidRDefault="00427B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27BA8" w:rsidRPr="00C76DF3" w:rsidRDefault="0036129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27BA8">
              <w:rPr>
                <w:rStyle w:val="Hyperlink"/>
                <w:sz w:val="14"/>
                <w:szCs w:val="14"/>
              </w:rPr>
              <w:t>Glossaire</w:t>
            </w:r>
          </w:hyperlink>
          <w:r w:rsidR="00427BA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27BA8" w:rsidRPr="00C76DF3" w:rsidRDefault="0036129B" w:rsidP="00370875">
          <w:pPr>
            <w:pStyle w:val="ProductList-OfferingBody"/>
            <w:ind w:left="-72" w:right="-76"/>
            <w:jc w:val="center"/>
            <w:rPr>
              <w:color w:val="808080" w:themeColor="background1" w:themeShade="80"/>
              <w:sz w:val="14"/>
              <w:szCs w:val="14"/>
            </w:rPr>
          </w:pPr>
          <w:hyperlink w:anchor="AppendixA" w:history="1">
            <w:r w:rsidR="00427BA8">
              <w:rPr>
                <w:rStyle w:val="Hyperlink"/>
                <w:sz w:val="14"/>
                <w:szCs w:val="14"/>
              </w:rPr>
              <w:t>Annexes</w:t>
            </w:r>
          </w:hyperlink>
        </w:p>
      </w:tc>
      <w:tc>
        <w:tcPr>
          <w:tcW w:w="184" w:type="dxa"/>
          <w:tcBorders>
            <w:top w:val="nil"/>
            <w:bottom w:val="nil"/>
          </w:tcBorders>
          <w:vAlign w:val="center"/>
        </w:tcPr>
        <w:p w14:paraId="49886511" w14:textId="77777777" w:rsidR="00427BA8" w:rsidRPr="00C76DF3" w:rsidRDefault="00427B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dex" w:history="1">
            <w:r w:rsidR="00427BA8">
              <w:rPr>
                <w:rStyle w:val="Hyperlink"/>
                <w:sz w:val="14"/>
                <w:szCs w:val="14"/>
              </w:rPr>
              <w:t>Index</w:t>
            </w:r>
          </w:hyperlink>
        </w:p>
      </w:tc>
    </w:tr>
  </w:tbl>
  <w:p w14:paraId="55876EE2" w14:textId="77777777" w:rsidR="00427BA8" w:rsidRDefault="00427BA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27BA8" w:rsidRPr="00C76DF3" w14:paraId="49EBE58A" w14:textId="77777777" w:rsidTr="00B5200C">
      <w:tc>
        <w:tcPr>
          <w:tcW w:w="1255" w:type="dxa"/>
          <w:shd w:val="clear" w:color="auto" w:fill="F2F2F2" w:themeFill="background1" w:themeFillShade="F2"/>
          <w:vAlign w:val="center"/>
        </w:tcPr>
        <w:p w14:paraId="102377D2" w14:textId="77777777" w:rsidR="00427BA8" w:rsidRPr="00C76DF3" w:rsidRDefault="0036129B" w:rsidP="00370875">
          <w:pPr>
            <w:pStyle w:val="ProductList-OfferingBody"/>
            <w:ind w:left="-77" w:right="-73"/>
            <w:jc w:val="center"/>
            <w:rPr>
              <w:color w:val="808080" w:themeColor="background1" w:themeShade="80"/>
              <w:sz w:val="14"/>
              <w:szCs w:val="14"/>
            </w:rPr>
          </w:pPr>
          <w:hyperlink w:anchor="TableOfContents" w:history="1">
            <w:r w:rsidR="00427BA8">
              <w:rPr>
                <w:rStyle w:val="Hyperlink"/>
                <w:sz w:val="14"/>
                <w:szCs w:val="14"/>
              </w:rPr>
              <w:t>Table des matières</w:t>
            </w:r>
          </w:hyperlink>
        </w:p>
      </w:tc>
      <w:tc>
        <w:tcPr>
          <w:tcW w:w="181" w:type="dxa"/>
          <w:tcBorders>
            <w:top w:val="nil"/>
            <w:bottom w:val="nil"/>
          </w:tcBorders>
          <w:vAlign w:val="center"/>
        </w:tcPr>
        <w:p w14:paraId="3BB867E4" w14:textId="77777777" w:rsidR="00427BA8" w:rsidRPr="00C76DF3" w:rsidRDefault="00427B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troduction" w:history="1">
            <w:r w:rsidR="00427BA8">
              <w:rPr>
                <w:rStyle w:val="Hyperlink"/>
                <w:sz w:val="14"/>
                <w:szCs w:val="14"/>
              </w:rPr>
              <w:t>Introduction</w:t>
            </w:r>
          </w:hyperlink>
        </w:p>
      </w:tc>
      <w:tc>
        <w:tcPr>
          <w:tcW w:w="182" w:type="dxa"/>
          <w:tcBorders>
            <w:top w:val="nil"/>
            <w:bottom w:val="nil"/>
          </w:tcBorders>
          <w:vAlign w:val="center"/>
        </w:tcPr>
        <w:p w14:paraId="53D82520" w14:textId="77777777" w:rsidR="00427BA8" w:rsidRPr="00C76DF3" w:rsidRDefault="00427B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27BA8" w:rsidRPr="00C76DF3" w:rsidRDefault="0036129B" w:rsidP="00370875">
          <w:pPr>
            <w:pStyle w:val="ProductList-OfferingBody"/>
            <w:ind w:left="-72" w:right="-75"/>
            <w:jc w:val="center"/>
            <w:rPr>
              <w:color w:val="808080" w:themeColor="background1" w:themeShade="80"/>
              <w:sz w:val="14"/>
              <w:szCs w:val="14"/>
            </w:rPr>
          </w:pPr>
          <w:hyperlink w:anchor="LicenseTerms" w:history="1">
            <w:r w:rsidR="00427BA8">
              <w:rPr>
                <w:rStyle w:val="Hyperlink"/>
                <w:sz w:val="14"/>
                <w:szCs w:val="14"/>
              </w:rPr>
              <w:t>Conditions de Licence</w:t>
            </w:r>
          </w:hyperlink>
        </w:p>
      </w:tc>
      <w:tc>
        <w:tcPr>
          <w:tcW w:w="183" w:type="dxa"/>
          <w:tcBorders>
            <w:top w:val="nil"/>
            <w:bottom w:val="nil"/>
          </w:tcBorders>
          <w:vAlign w:val="center"/>
        </w:tcPr>
        <w:p w14:paraId="1125AF40" w14:textId="77777777" w:rsidR="00427BA8" w:rsidRPr="00C76DF3" w:rsidRDefault="00427B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27BA8" w:rsidRPr="00C76DF3" w:rsidRDefault="0036129B" w:rsidP="00370875">
          <w:pPr>
            <w:pStyle w:val="ProductList-OfferingBody"/>
            <w:ind w:left="-72" w:right="-77"/>
            <w:jc w:val="center"/>
            <w:rPr>
              <w:color w:val="808080" w:themeColor="background1" w:themeShade="80"/>
              <w:sz w:val="14"/>
              <w:szCs w:val="14"/>
            </w:rPr>
          </w:pPr>
          <w:hyperlink w:anchor="Software" w:history="1">
            <w:r w:rsidR="00427BA8">
              <w:rPr>
                <w:rStyle w:val="Hyperlink"/>
                <w:sz w:val="14"/>
                <w:szCs w:val="14"/>
              </w:rPr>
              <w:t>Logiciel</w:t>
            </w:r>
          </w:hyperlink>
        </w:p>
      </w:tc>
      <w:tc>
        <w:tcPr>
          <w:tcW w:w="185" w:type="dxa"/>
          <w:tcBorders>
            <w:top w:val="nil"/>
            <w:bottom w:val="nil"/>
          </w:tcBorders>
          <w:vAlign w:val="center"/>
        </w:tcPr>
        <w:p w14:paraId="1E5F93B5"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27BA8" w:rsidRPr="00C76DF3" w:rsidRDefault="0036129B" w:rsidP="000506C5">
          <w:pPr>
            <w:pStyle w:val="ProductList-OfferingBody"/>
            <w:ind w:left="-72" w:right="-77"/>
            <w:jc w:val="center"/>
            <w:rPr>
              <w:color w:val="808080" w:themeColor="background1" w:themeShade="80"/>
              <w:sz w:val="14"/>
              <w:szCs w:val="14"/>
            </w:rPr>
          </w:pPr>
          <w:hyperlink w:anchor="OnlineServices" w:history="1">
            <w:r w:rsidR="00427BA8">
              <w:rPr>
                <w:rStyle w:val="Hyperlink"/>
                <w:sz w:val="14"/>
                <w:szCs w:val="14"/>
              </w:rPr>
              <w:t>Services en Ligne</w:t>
            </w:r>
          </w:hyperlink>
        </w:p>
      </w:tc>
      <w:tc>
        <w:tcPr>
          <w:tcW w:w="180" w:type="dxa"/>
          <w:tcBorders>
            <w:top w:val="nil"/>
            <w:bottom w:val="nil"/>
          </w:tcBorders>
        </w:tcPr>
        <w:p w14:paraId="774E3CA7" w14:textId="77777777" w:rsidR="00427BA8" w:rsidRPr="00C76DF3" w:rsidRDefault="00427B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27BA8" w:rsidRPr="00C76DF3" w:rsidRDefault="0036129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27BA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427BA8" w:rsidRPr="00C76DF3" w:rsidRDefault="00427B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27BA8" w:rsidRPr="00C76DF3" w:rsidRDefault="0036129B" w:rsidP="00370875">
          <w:pPr>
            <w:pStyle w:val="ProductList-OfferingBody"/>
            <w:ind w:left="-72" w:right="-76"/>
            <w:jc w:val="center"/>
            <w:rPr>
              <w:color w:val="808080" w:themeColor="background1" w:themeShade="80"/>
              <w:sz w:val="14"/>
              <w:szCs w:val="14"/>
            </w:rPr>
          </w:pPr>
          <w:hyperlink w:anchor="AppendixA" w:history="1">
            <w:r w:rsidR="00427BA8">
              <w:rPr>
                <w:rStyle w:val="Hyperlink"/>
                <w:sz w:val="14"/>
                <w:szCs w:val="14"/>
              </w:rPr>
              <w:t>Annexes</w:t>
            </w:r>
          </w:hyperlink>
        </w:p>
      </w:tc>
      <w:tc>
        <w:tcPr>
          <w:tcW w:w="184" w:type="dxa"/>
          <w:tcBorders>
            <w:top w:val="nil"/>
            <w:bottom w:val="nil"/>
          </w:tcBorders>
          <w:vAlign w:val="center"/>
        </w:tcPr>
        <w:p w14:paraId="54B478A3" w14:textId="77777777" w:rsidR="00427BA8" w:rsidRPr="00C76DF3" w:rsidRDefault="00427B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27BA8" w:rsidRPr="00C76DF3" w:rsidRDefault="0036129B" w:rsidP="00370875">
          <w:pPr>
            <w:pStyle w:val="ProductList-OfferingBody"/>
            <w:ind w:left="-72" w:right="-74"/>
            <w:jc w:val="center"/>
            <w:rPr>
              <w:color w:val="808080" w:themeColor="background1" w:themeShade="80"/>
              <w:sz w:val="14"/>
              <w:szCs w:val="14"/>
            </w:rPr>
          </w:pPr>
          <w:hyperlink w:anchor="Index" w:history="1">
            <w:r w:rsidR="00427BA8">
              <w:rPr>
                <w:rStyle w:val="Hyperlink"/>
                <w:sz w:val="14"/>
                <w:szCs w:val="14"/>
              </w:rPr>
              <w:t>Index</w:t>
            </w:r>
          </w:hyperlink>
        </w:p>
      </w:tc>
    </w:tr>
  </w:tbl>
  <w:p w14:paraId="79D1A8DC" w14:textId="77777777" w:rsidR="00427BA8" w:rsidRDefault="00427BA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1AD3F0F4"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68B705C1"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3E955997"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4C5B7717" w14:textId="77777777" w:rsidR="00427BA8" w:rsidRDefault="00427BA8"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219893AD"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67533FE4"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0E1C8C80"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0EF73ECD" w14:textId="77777777" w:rsidR="00427BA8" w:rsidRDefault="00427BA8"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427BA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427BA8" w:rsidRPr="00C76DF3" w:rsidRDefault="0036129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27BA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427BA8" w:rsidRPr="00C76DF3" w:rsidRDefault="00427BA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427BA8" w:rsidRPr="00C76DF3" w:rsidRDefault="0036129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27BA8" w:rsidRPr="00BD502E">
              <w:rPr>
                <w:rStyle w:val="Hyperlink"/>
                <w:sz w:val="14"/>
                <w:szCs w:val="14"/>
              </w:rPr>
              <w:t>Introduction</w:t>
            </w:r>
          </w:hyperlink>
        </w:p>
      </w:tc>
      <w:tc>
        <w:tcPr>
          <w:tcW w:w="271" w:type="dxa"/>
          <w:tcBorders>
            <w:top w:val="nil"/>
            <w:bottom w:val="nil"/>
          </w:tcBorders>
          <w:vAlign w:val="center"/>
        </w:tcPr>
        <w:p w14:paraId="7E68582C" w14:textId="77777777" w:rsidR="00427BA8" w:rsidRPr="00C76DF3" w:rsidRDefault="00427BA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427BA8" w:rsidRPr="00C76DF3" w:rsidRDefault="0036129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27BA8">
              <w:rPr>
                <w:rStyle w:val="Hyperlink"/>
                <w:sz w:val="14"/>
                <w:szCs w:val="14"/>
              </w:rPr>
              <w:t>Conditions Générales</w:t>
            </w:r>
          </w:hyperlink>
        </w:p>
      </w:tc>
      <w:tc>
        <w:tcPr>
          <w:tcW w:w="272" w:type="dxa"/>
          <w:tcBorders>
            <w:top w:val="nil"/>
            <w:bottom w:val="nil"/>
          </w:tcBorders>
          <w:vAlign w:val="center"/>
        </w:tcPr>
        <w:p w14:paraId="47A7D5A4" w14:textId="77777777" w:rsidR="00427BA8" w:rsidRPr="00C76DF3" w:rsidRDefault="00427BA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427BA8" w:rsidRPr="00C76DF3" w:rsidRDefault="0036129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27BA8">
              <w:rPr>
                <w:rStyle w:val="Hyperlink"/>
                <w:sz w:val="14"/>
                <w:szCs w:val="14"/>
              </w:rPr>
              <w:t>Conditions Spécifiques des Services</w:t>
            </w:r>
          </w:hyperlink>
        </w:p>
      </w:tc>
      <w:tc>
        <w:tcPr>
          <w:tcW w:w="273" w:type="dxa"/>
          <w:tcBorders>
            <w:top w:val="nil"/>
            <w:bottom w:val="nil"/>
          </w:tcBorders>
          <w:vAlign w:val="center"/>
        </w:tcPr>
        <w:p w14:paraId="1A04E667" w14:textId="77777777" w:rsidR="00427BA8" w:rsidRPr="00C76DF3" w:rsidRDefault="00427BA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427BA8" w:rsidRPr="00C76DF3" w:rsidRDefault="0036129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27BA8">
              <w:rPr>
                <w:rStyle w:val="Hyperlink"/>
                <w:sz w:val="14"/>
                <w:szCs w:val="14"/>
              </w:rPr>
              <w:t>Annexe</w:t>
            </w:r>
          </w:hyperlink>
        </w:p>
      </w:tc>
    </w:tr>
  </w:tbl>
  <w:p w14:paraId="4066B3B1" w14:textId="77777777" w:rsidR="00427BA8" w:rsidRDefault="00427BA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A1A35" w14:textId="77777777" w:rsidR="0036129B" w:rsidRDefault="0036129B" w:rsidP="009A573F">
      <w:pPr>
        <w:spacing w:after="0" w:line="240" w:lineRule="auto"/>
      </w:pPr>
      <w:r>
        <w:separator/>
      </w:r>
    </w:p>
  </w:footnote>
  <w:footnote w:type="continuationSeparator" w:id="0">
    <w:p w14:paraId="77F27459" w14:textId="77777777" w:rsidR="0036129B" w:rsidRDefault="0036129B" w:rsidP="009A573F">
      <w:pPr>
        <w:spacing w:after="0" w:line="240" w:lineRule="auto"/>
      </w:pPr>
      <w:r>
        <w:continuationSeparator/>
      </w:r>
    </w:p>
  </w:footnote>
  <w:footnote w:type="continuationNotice" w:id="1">
    <w:p w14:paraId="16AE1D8D" w14:textId="77777777" w:rsidR="0036129B" w:rsidRDefault="003612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9C87" w14:textId="77777777" w:rsidR="00EA2941" w:rsidRDefault="00EA2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2AA4A96" w:rsidR="00427BA8" w:rsidRPr="00DC2685" w:rsidRDefault="0036129B" w:rsidP="00F2281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27BA8">
              <w:rPr>
                <w:sz w:val="16"/>
                <w:szCs w:val="16"/>
              </w:rPr>
              <w:t xml:space="preserve">Contrat de Niveau de Service pour les Services en Ligne dans le cadre du programme de Licence en Volume Microsoft (français – neutre, </w:t>
            </w:r>
            <w:r w:rsidR="00F2281C">
              <w:rPr>
                <w:sz w:val="16"/>
                <w:szCs w:val="16"/>
              </w:rPr>
              <w:t>15 avril 2015</w:t>
            </w:r>
            <w:r w:rsidR="00427BA8">
              <w:rPr>
                <w:sz w:val="16"/>
                <w:szCs w:val="16"/>
              </w:rPr>
              <w:t>)</w:t>
            </w:r>
            <w:r w:rsidR="00427BA8">
              <w:rPr>
                <w:sz w:val="16"/>
                <w:szCs w:val="16"/>
              </w:rPr>
              <w:tab/>
            </w:r>
            <w:r w:rsidR="00427BA8">
              <w:rPr>
                <w:sz w:val="16"/>
                <w:szCs w:val="16"/>
              </w:rPr>
              <w:fldChar w:fldCharType="begin"/>
            </w:r>
            <w:r w:rsidR="00427BA8" w:rsidRPr="00A247F3">
              <w:rPr>
                <w:sz w:val="16"/>
                <w:szCs w:val="16"/>
              </w:rPr>
              <w:instrText xml:space="preserve"> PAGE </w:instrText>
            </w:r>
            <w:r w:rsidR="00427BA8">
              <w:rPr>
                <w:sz w:val="16"/>
                <w:szCs w:val="16"/>
              </w:rPr>
              <w:fldChar w:fldCharType="separate"/>
            </w:r>
            <w:r w:rsidR="00EA2941">
              <w:rPr>
                <w:noProof/>
                <w:sz w:val="16"/>
                <w:szCs w:val="16"/>
              </w:rPr>
              <w:t>12</w:t>
            </w:r>
            <w:r w:rsidR="00427BA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5C1B" w14:textId="77777777" w:rsidR="00EA2941" w:rsidRDefault="00EA29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96BBA94" w:rsidR="00427BA8" w:rsidRPr="00DC2685" w:rsidRDefault="0036129B"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27BA8">
          <w:rPr>
            <w:sz w:val="16"/>
            <w:szCs w:val="16"/>
          </w:rPr>
          <w:t xml:space="preserve">Contrat de Niveau de Service pour les Services en Ligne dans le cadre du programme de Licence en Volume Microsoft (français – neutre, </w:t>
        </w:r>
        <w:r w:rsidR="00F439B9">
          <w:rPr>
            <w:sz w:val="16"/>
            <w:szCs w:val="16"/>
          </w:rPr>
          <w:t xml:space="preserve">15 </w:t>
        </w:r>
        <w:r w:rsidR="00427BA8">
          <w:rPr>
            <w:sz w:val="16"/>
            <w:szCs w:val="16"/>
          </w:rPr>
          <w:t>avril 2015)</w:t>
        </w:r>
        <w:r w:rsidR="00427BA8">
          <w:rPr>
            <w:sz w:val="16"/>
            <w:szCs w:val="16"/>
          </w:rPr>
          <w:tab/>
        </w:r>
        <w:r w:rsidR="00427BA8">
          <w:rPr>
            <w:sz w:val="16"/>
            <w:szCs w:val="16"/>
          </w:rPr>
          <w:fldChar w:fldCharType="begin"/>
        </w:r>
        <w:r w:rsidR="00427BA8" w:rsidRPr="00A247F3">
          <w:rPr>
            <w:sz w:val="16"/>
            <w:szCs w:val="16"/>
          </w:rPr>
          <w:instrText xml:space="preserve"> PAGE </w:instrText>
        </w:r>
        <w:r w:rsidR="00427BA8">
          <w:rPr>
            <w:sz w:val="16"/>
            <w:szCs w:val="16"/>
          </w:rPr>
          <w:fldChar w:fldCharType="separate"/>
        </w:r>
        <w:r w:rsidR="00EA2941">
          <w:rPr>
            <w:noProof/>
            <w:sz w:val="16"/>
            <w:szCs w:val="16"/>
          </w:rPr>
          <w:t>2</w:t>
        </w:r>
        <w:r w:rsidR="00427BA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eQxHjumjuVL0v/7GXr4ogeKCzN5zrNthCmI8pqBg1yE3FBMT5n0faxPR/ZFe8se15PuSCgLawS3cnEurNmDn2g==" w:salt="vNNLe2eRsEw3P9Wl7gSJv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270C"/>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129B"/>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4E1A"/>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2941"/>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French.docx" TargetMode="Externa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Fren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French.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DC7C-4BE8-48DD-9C6C-7E991E00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19185</Words>
  <Characters>109361</Characters>
  <Application>Microsoft Office Word</Application>
  <DocSecurity>8</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2015-04-15T15:27:00Z</dcterms:created>
  <dcterms:modified xsi:type="dcterms:W3CDTF">2015-04-15T15:27:00Z</dcterms:modified>
</cp:coreProperties>
</file>