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6ABD1A89"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85B3D">
        <w:rPr>
          <w:rFonts w:asciiTheme="majorHAnsi" w:hAnsiTheme="majorHAnsi"/>
          <w:color w:val="FFFFFF" w:themeColor="background1"/>
          <w:sz w:val="72"/>
          <w:szCs w:val="72"/>
        </w:rPr>
        <w:t xml:space="preserve"> </w:t>
      </w:r>
      <w:r w:rsidR="00992B6D" w:rsidRPr="00E1147A">
        <w:rPr>
          <w:rFonts w:asciiTheme="majorHAnsi" w:hAnsiTheme="majorHAnsi"/>
          <w:color w:val="FFFFFF" w:themeColor="background1"/>
          <w:sz w:val="72"/>
          <w:szCs w:val="72"/>
        </w:rPr>
        <w:t>décembre</w:t>
      </w:r>
      <w:r>
        <w:rPr>
          <w:rFonts w:asciiTheme="majorHAnsi" w:hAnsiTheme="majorHAnsi"/>
          <w:color w:val="FFFFFF" w:themeColor="background1"/>
          <w:sz w:val="72"/>
          <w:szCs w:val="72"/>
        </w:rPr>
        <w:t> </w:t>
      </w:r>
      <w:r w:rsidR="009C340C" w:rsidRPr="00086FBA">
        <w:rPr>
          <w:rFonts w:asciiTheme="majorHAnsi" w:hAnsiTheme="majorHAnsi"/>
          <w:color w:val="FFFFFF" w:themeColor="background1"/>
          <w:sz w:val="72"/>
          <w:szCs w:val="72"/>
        </w:rPr>
        <w:t>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46625"/>
      <w:r w:rsidRPr="00852618">
        <w:rPr>
          <w:lang w:eastAsia="en-US" w:bidi="ar-SA"/>
        </w:rPr>
        <w:lastRenderedPageBreak/>
        <w:t>Table des matières</w:t>
      </w:r>
      <w:bookmarkEnd w:id="3"/>
      <w:bookmarkEnd w:id="4"/>
    </w:p>
    <w:p w14:paraId="76740426" w14:textId="300FF897" w:rsidR="00992B6D"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25746625" w:history="1">
        <w:r w:rsidR="00992B6D" w:rsidRPr="005146B0">
          <w:rPr>
            <w:rStyle w:val="Hyperlink"/>
            <w:noProof/>
            <w:lang w:eastAsia="en-US"/>
          </w:rPr>
          <w:t>Table des matières</w:t>
        </w:r>
        <w:r w:rsidR="00992B6D">
          <w:rPr>
            <w:noProof/>
            <w:webHidden/>
          </w:rPr>
          <w:tab/>
        </w:r>
        <w:r w:rsidR="00992B6D">
          <w:rPr>
            <w:noProof/>
            <w:webHidden/>
          </w:rPr>
          <w:fldChar w:fldCharType="begin"/>
        </w:r>
        <w:r w:rsidR="00992B6D">
          <w:rPr>
            <w:noProof/>
            <w:webHidden/>
          </w:rPr>
          <w:instrText xml:space="preserve"> PAGEREF _Toc25746625 \h </w:instrText>
        </w:r>
        <w:r w:rsidR="00992B6D">
          <w:rPr>
            <w:noProof/>
            <w:webHidden/>
          </w:rPr>
        </w:r>
        <w:r w:rsidR="00992B6D">
          <w:rPr>
            <w:noProof/>
            <w:webHidden/>
          </w:rPr>
          <w:fldChar w:fldCharType="separate"/>
        </w:r>
        <w:r w:rsidR="00992B6D">
          <w:rPr>
            <w:noProof/>
            <w:webHidden/>
          </w:rPr>
          <w:t>2</w:t>
        </w:r>
        <w:r w:rsidR="00992B6D">
          <w:rPr>
            <w:noProof/>
            <w:webHidden/>
          </w:rPr>
          <w:fldChar w:fldCharType="end"/>
        </w:r>
      </w:hyperlink>
    </w:p>
    <w:p w14:paraId="5BD00A82" w14:textId="1938C2BC" w:rsidR="00992B6D" w:rsidRDefault="00475864">
      <w:pPr>
        <w:pStyle w:val="TOC1"/>
        <w:tabs>
          <w:tab w:val="right" w:leader="dot" w:pos="5030"/>
        </w:tabs>
        <w:rPr>
          <w:rFonts w:eastAsiaTheme="minorEastAsia"/>
          <w:b w:val="0"/>
          <w:caps w:val="0"/>
          <w:noProof/>
          <w:sz w:val="22"/>
          <w:lang w:val="en-US" w:eastAsia="en-US" w:bidi="ar-SA"/>
        </w:rPr>
      </w:pPr>
      <w:hyperlink w:anchor="_Toc25746626" w:history="1">
        <w:r w:rsidR="00992B6D" w:rsidRPr="005146B0">
          <w:rPr>
            <w:rStyle w:val="Hyperlink"/>
            <w:noProof/>
          </w:rPr>
          <w:t>Introduction</w:t>
        </w:r>
        <w:r w:rsidR="00992B6D">
          <w:rPr>
            <w:noProof/>
            <w:webHidden/>
          </w:rPr>
          <w:tab/>
        </w:r>
        <w:r w:rsidR="00992B6D">
          <w:rPr>
            <w:noProof/>
            <w:webHidden/>
          </w:rPr>
          <w:fldChar w:fldCharType="begin"/>
        </w:r>
        <w:r w:rsidR="00992B6D">
          <w:rPr>
            <w:noProof/>
            <w:webHidden/>
          </w:rPr>
          <w:instrText xml:space="preserve"> PAGEREF _Toc25746626 \h </w:instrText>
        </w:r>
        <w:r w:rsidR="00992B6D">
          <w:rPr>
            <w:noProof/>
            <w:webHidden/>
          </w:rPr>
        </w:r>
        <w:r w:rsidR="00992B6D">
          <w:rPr>
            <w:noProof/>
            <w:webHidden/>
          </w:rPr>
          <w:fldChar w:fldCharType="separate"/>
        </w:r>
        <w:r w:rsidR="00992B6D">
          <w:rPr>
            <w:noProof/>
            <w:webHidden/>
          </w:rPr>
          <w:t>4</w:t>
        </w:r>
        <w:r w:rsidR="00992B6D">
          <w:rPr>
            <w:noProof/>
            <w:webHidden/>
          </w:rPr>
          <w:fldChar w:fldCharType="end"/>
        </w:r>
      </w:hyperlink>
    </w:p>
    <w:p w14:paraId="572FFBDC" w14:textId="2403E1EA" w:rsidR="00992B6D" w:rsidRDefault="00475864">
      <w:pPr>
        <w:pStyle w:val="TOC1"/>
        <w:tabs>
          <w:tab w:val="right" w:leader="dot" w:pos="5030"/>
        </w:tabs>
        <w:rPr>
          <w:rFonts w:eastAsiaTheme="minorEastAsia"/>
          <w:b w:val="0"/>
          <w:caps w:val="0"/>
          <w:noProof/>
          <w:sz w:val="22"/>
          <w:lang w:val="en-US" w:eastAsia="en-US" w:bidi="ar-SA"/>
        </w:rPr>
      </w:pPr>
      <w:hyperlink w:anchor="_Toc25746627" w:history="1">
        <w:r w:rsidR="00992B6D" w:rsidRPr="005146B0">
          <w:rPr>
            <w:rStyle w:val="Hyperlink"/>
            <w:noProof/>
            <w:lang w:eastAsia="en-US"/>
          </w:rPr>
          <w:t>Conditions Générales</w:t>
        </w:r>
        <w:r w:rsidR="00992B6D">
          <w:rPr>
            <w:noProof/>
            <w:webHidden/>
          </w:rPr>
          <w:tab/>
        </w:r>
        <w:r w:rsidR="00992B6D">
          <w:rPr>
            <w:noProof/>
            <w:webHidden/>
          </w:rPr>
          <w:fldChar w:fldCharType="begin"/>
        </w:r>
        <w:r w:rsidR="00992B6D">
          <w:rPr>
            <w:noProof/>
            <w:webHidden/>
          </w:rPr>
          <w:instrText xml:space="preserve"> PAGEREF _Toc25746627 \h </w:instrText>
        </w:r>
        <w:r w:rsidR="00992B6D">
          <w:rPr>
            <w:noProof/>
            <w:webHidden/>
          </w:rPr>
        </w:r>
        <w:r w:rsidR="00992B6D">
          <w:rPr>
            <w:noProof/>
            <w:webHidden/>
          </w:rPr>
          <w:fldChar w:fldCharType="separate"/>
        </w:r>
        <w:r w:rsidR="00992B6D">
          <w:rPr>
            <w:noProof/>
            <w:webHidden/>
          </w:rPr>
          <w:t>5</w:t>
        </w:r>
        <w:r w:rsidR="00992B6D">
          <w:rPr>
            <w:noProof/>
            <w:webHidden/>
          </w:rPr>
          <w:fldChar w:fldCharType="end"/>
        </w:r>
      </w:hyperlink>
    </w:p>
    <w:p w14:paraId="66DE1092" w14:textId="43EC5F54" w:rsidR="00992B6D" w:rsidRDefault="00475864">
      <w:pPr>
        <w:pStyle w:val="TOC1"/>
        <w:tabs>
          <w:tab w:val="right" w:leader="dot" w:pos="5030"/>
        </w:tabs>
        <w:rPr>
          <w:rFonts w:eastAsiaTheme="minorEastAsia"/>
          <w:b w:val="0"/>
          <w:caps w:val="0"/>
          <w:noProof/>
          <w:sz w:val="22"/>
          <w:lang w:val="en-US" w:eastAsia="en-US" w:bidi="ar-SA"/>
        </w:rPr>
      </w:pPr>
      <w:hyperlink w:anchor="_Toc25746628" w:history="1">
        <w:r w:rsidR="00992B6D" w:rsidRPr="005146B0">
          <w:rPr>
            <w:rStyle w:val="Hyperlink"/>
            <w:noProof/>
            <w:lang w:eastAsia="en-US"/>
          </w:rPr>
          <w:t>Conditions Spécifiques des Services</w:t>
        </w:r>
        <w:r w:rsidR="00992B6D">
          <w:rPr>
            <w:noProof/>
            <w:webHidden/>
          </w:rPr>
          <w:tab/>
        </w:r>
        <w:r w:rsidR="00992B6D">
          <w:rPr>
            <w:noProof/>
            <w:webHidden/>
          </w:rPr>
          <w:fldChar w:fldCharType="begin"/>
        </w:r>
        <w:r w:rsidR="00992B6D">
          <w:rPr>
            <w:noProof/>
            <w:webHidden/>
          </w:rPr>
          <w:instrText xml:space="preserve"> PAGEREF _Toc25746628 \h </w:instrText>
        </w:r>
        <w:r w:rsidR="00992B6D">
          <w:rPr>
            <w:noProof/>
            <w:webHidden/>
          </w:rPr>
        </w:r>
        <w:r w:rsidR="00992B6D">
          <w:rPr>
            <w:noProof/>
            <w:webHidden/>
          </w:rPr>
          <w:fldChar w:fldCharType="separate"/>
        </w:r>
        <w:r w:rsidR="00992B6D">
          <w:rPr>
            <w:noProof/>
            <w:webHidden/>
          </w:rPr>
          <w:t>7</w:t>
        </w:r>
        <w:r w:rsidR="00992B6D">
          <w:rPr>
            <w:noProof/>
            <w:webHidden/>
          </w:rPr>
          <w:fldChar w:fldCharType="end"/>
        </w:r>
      </w:hyperlink>
    </w:p>
    <w:p w14:paraId="702E8F39" w14:textId="2B8A5979" w:rsidR="00992B6D" w:rsidRDefault="00475864">
      <w:pPr>
        <w:pStyle w:val="TOC2"/>
        <w:tabs>
          <w:tab w:val="right" w:leader="dot" w:pos="5030"/>
        </w:tabs>
        <w:rPr>
          <w:rFonts w:eastAsiaTheme="minorEastAsia"/>
          <w:b w:val="0"/>
          <w:smallCaps w:val="0"/>
          <w:noProof/>
          <w:sz w:val="22"/>
          <w:lang w:val="en-US" w:eastAsia="en-US" w:bidi="ar-SA"/>
        </w:rPr>
      </w:pPr>
      <w:hyperlink w:anchor="_Toc25746629" w:history="1">
        <w:r w:rsidR="00992B6D" w:rsidRPr="005146B0">
          <w:rPr>
            <w:rStyle w:val="Hyperlink"/>
            <w:noProof/>
            <w:lang w:val="en-US"/>
          </w:rPr>
          <w:t>Microsoft Dynamics 365</w:t>
        </w:r>
        <w:r w:rsidR="00992B6D">
          <w:rPr>
            <w:noProof/>
            <w:webHidden/>
          </w:rPr>
          <w:tab/>
        </w:r>
        <w:r w:rsidR="00992B6D">
          <w:rPr>
            <w:noProof/>
            <w:webHidden/>
          </w:rPr>
          <w:fldChar w:fldCharType="begin"/>
        </w:r>
        <w:r w:rsidR="00992B6D">
          <w:rPr>
            <w:noProof/>
            <w:webHidden/>
          </w:rPr>
          <w:instrText xml:space="preserve"> PAGEREF _Toc25746629 \h </w:instrText>
        </w:r>
        <w:r w:rsidR="00992B6D">
          <w:rPr>
            <w:noProof/>
            <w:webHidden/>
          </w:rPr>
        </w:r>
        <w:r w:rsidR="00992B6D">
          <w:rPr>
            <w:noProof/>
            <w:webHidden/>
          </w:rPr>
          <w:fldChar w:fldCharType="separate"/>
        </w:r>
        <w:r w:rsidR="00992B6D">
          <w:rPr>
            <w:noProof/>
            <w:webHidden/>
          </w:rPr>
          <w:t>7</w:t>
        </w:r>
        <w:r w:rsidR="00992B6D">
          <w:rPr>
            <w:noProof/>
            <w:webHidden/>
          </w:rPr>
          <w:fldChar w:fldCharType="end"/>
        </w:r>
      </w:hyperlink>
    </w:p>
    <w:p w14:paraId="453963E9" w14:textId="5AC728CA" w:rsidR="00992B6D" w:rsidRDefault="00475864">
      <w:pPr>
        <w:pStyle w:val="TOC4"/>
        <w:tabs>
          <w:tab w:val="right" w:leader="dot" w:pos="5030"/>
        </w:tabs>
        <w:rPr>
          <w:rFonts w:eastAsiaTheme="minorEastAsia"/>
          <w:smallCaps w:val="0"/>
          <w:noProof/>
          <w:sz w:val="22"/>
          <w:lang w:val="en-US" w:eastAsia="en-US" w:bidi="ar-SA"/>
        </w:rPr>
      </w:pPr>
      <w:hyperlink w:anchor="_Toc25746630" w:history="1">
        <w:r w:rsidR="00992B6D" w:rsidRPr="005146B0">
          <w:rPr>
            <w:rStyle w:val="Hyperlink"/>
            <w:noProof/>
            <w:lang w:val="en-US"/>
          </w:rPr>
          <w:t>Dynamics 365 Customer Service Enterprise ; Dynamics 365 Customer Service Professional ; Dynamics 365 Customer Service Insights</w:t>
        </w:r>
        <w:r w:rsidR="00992B6D">
          <w:rPr>
            <w:noProof/>
            <w:webHidden/>
          </w:rPr>
          <w:tab/>
        </w:r>
        <w:r w:rsidR="00992B6D">
          <w:rPr>
            <w:noProof/>
            <w:webHidden/>
          </w:rPr>
          <w:fldChar w:fldCharType="begin"/>
        </w:r>
        <w:r w:rsidR="00992B6D">
          <w:rPr>
            <w:noProof/>
            <w:webHidden/>
          </w:rPr>
          <w:instrText xml:space="preserve"> PAGEREF _Toc25746630 \h </w:instrText>
        </w:r>
        <w:r w:rsidR="00992B6D">
          <w:rPr>
            <w:noProof/>
            <w:webHidden/>
          </w:rPr>
        </w:r>
        <w:r w:rsidR="00992B6D">
          <w:rPr>
            <w:noProof/>
            <w:webHidden/>
          </w:rPr>
          <w:fldChar w:fldCharType="separate"/>
        </w:r>
        <w:r w:rsidR="00992B6D">
          <w:rPr>
            <w:noProof/>
            <w:webHidden/>
          </w:rPr>
          <w:t>7</w:t>
        </w:r>
        <w:r w:rsidR="00992B6D">
          <w:rPr>
            <w:noProof/>
            <w:webHidden/>
          </w:rPr>
          <w:fldChar w:fldCharType="end"/>
        </w:r>
      </w:hyperlink>
    </w:p>
    <w:p w14:paraId="45BAB231" w14:textId="61B6F495" w:rsidR="00992B6D" w:rsidRDefault="00475864">
      <w:pPr>
        <w:pStyle w:val="TOC4"/>
        <w:tabs>
          <w:tab w:val="right" w:leader="dot" w:pos="5030"/>
        </w:tabs>
        <w:rPr>
          <w:rFonts w:eastAsiaTheme="minorEastAsia"/>
          <w:smallCaps w:val="0"/>
          <w:noProof/>
          <w:sz w:val="22"/>
          <w:lang w:val="en-US" w:eastAsia="en-US" w:bidi="ar-SA"/>
        </w:rPr>
      </w:pPr>
      <w:hyperlink w:anchor="_Toc25746631" w:history="1">
        <w:r w:rsidR="00992B6D" w:rsidRPr="005146B0">
          <w:rPr>
            <w:rStyle w:val="Hyperlink"/>
            <w:noProof/>
            <w:lang w:val="en-US"/>
          </w:rPr>
          <w:t>Dynamics 365 Business Central</w:t>
        </w:r>
        <w:r w:rsidR="00992B6D">
          <w:rPr>
            <w:noProof/>
            <w:webHidden/>
          </w:rPr>
          <w:tab/>
        </w:r>
        <w:r w:rsidR="00992B6D">
          <w:rPr>
            <w:noProof/>
            <w:webHidden/>
          </w:rPr>
          <w:fldChar w:fldCharType="begin"/>
        </w:r>
        <w:r w:rsidR="00992B6D">
          <w:rPr>
            <w:noProof/>
            <w:webHidden/>
          </w:rPr>
          <w:instrText xml:space="preserve"> PAGEREF _Toc25746631 \h </w:instrText>
        </w:r>
        <w:r w:rsidR="00992B6D">
          <w:rPr>
            <w:noProof/>
            <w:webHidden/>
          </w:rPr>
        </w:r>
        <w:r w:rsidR="00992B6D">
          <w:rPr>
            <w:noProof/>
            <w:webHidden/>
          </w:rPr>
          <w:fldChar w:fldCharType="separate"/>
        </w:r>
        <w:r w:rsidR="00992B6D">
          <w:rPr>
            <w:noProof/>
            <w:webHidden/>
          </w:rPr>
          <w:t>7</w:t>
        </w:r>
        <w:r w:rsidR="00992B6D">
          <w:rPr>
            <w:noProof/>
            <w:webHidden/>
          </w:rPr>
          <w:fldChar w:fldCharType="end"/>
        </w:r>
      </w:hyperlink>
    </w:p>
    <w:p w14:paraId="2652E5C2" w14:textId="095AA2D3" w:rsidR="00992B6D" w:rsidRDefault="00475864">
      <w:pPr>
        <w:pStyle w:val="TOC4"/>
        <w:tabs>
          <w:tab w:val="right" w:leader="dot" w:pos="5030"/>
        </w:tabs>
        <w:rPr>
          <w:rFonts w:eastAsiaTheme="minorEastAsia"/>
          <w:smallCaps w:val="0"/>
          <w:noProof/>
          <w:sz w:val="22"/>
          <w:lang w:val="en-US" w:eastAsia="en-US" w:bidi="ar-SA"/>
        </w:rPr>
      </w:pPr>
      <w:hyperlink w:anchor="_Toc25746632" w:history="1">
        <w:r w:rsidR="00992B6D" w:rsidRPr="005146B0">
          <w:rPr>
            <w:rStyle w:val="Hyperlink"/>
            <w:noProof/>
          </w:rPr>
          <w:t>Dynamics 365 Fraud Protection</w:t>
        </w:r>
        <w:r w:rsidR="00992B6D">
          <w:rPr>
            <w:noProof/>
            <w:webHidden/>
          </w:rPr>
          <w:tab/>
        </w:r>
        <w:r w:rsidR="00992B6D">
          <w:rPr>
            <w:noProof/>
            <w:webHidden/>
          </w:rPr>
          <w:fldChar w:fldCharType="begin"/>
        </w:r>
        <w:r w:rsidR="00992B6D">
          <w:rPr>
            <w:noProof/>
            <w:webHidden/>
          </w:rPr>
          <w:instrText xml:space="preserve"> PAGEREF _Toc25746632 \h </w:instrText>
        </w:r>
        <w:r w:rsidR="00992B6D">
          <w:rPr>
            <w:noProof/>
            <w:webHidden/>
          </w:rPr>
        </w:r>
        <w:r w:rsidR="00992B6D">
          <w:rPr>
            <w:noProof/>
            <w:webHidden/>
          </w:rPr>
          <w:fldChar w:fldCharType="separate"/>
        </w:r>
        <w:r w:rsidR="00992B6D">
          <w:rPr>
            <w:noProof/>
            <w:webHidden/>
          </w:rPr>
          <w:t>7</w:t>
        </w:r>
        <w:r w:rsidR="00992B6D">
          <w:rPr>
            <w:noProof/>
            <w:webHidden/>
          </w:rPr>
          <w:fldChar w:fldCharType="end"/>
        </w:r>
      </w:hyperlink>
    </w:p>
    <w:p w14:paraId="554502CA" w14:textId="26367C25" w:rsidR="00992B6D" w:rsidRDefault="00475864">
      <w:pPr>
        <w:pStyle w:val="TOC4"/>
        <w:tabs>
          <w:tab w:val="right" w:leader="dot" w:pos="5030"/>
        </w:tabs>
        <w:rPr>
          <w:rFonts w:eastAsiaTheme="minorEastAsia"/>
          <w:smallCaps w:val="0"/>
          <w:noProof/>
          <w:sz w:val="22"/>
          <w:lang w:val="en-US" w:eastAsia="en-US" w:bidi="ar-SA"/>
        </w:rPr>
      </w:pPr>
      <w:hyperlink w:anchor="_Toc25746633" w:history="1">
        <w:r w:rsidR="00992B6D" w:rsidRPr="005146B0">
          <w:rPr>
            <w:rStyle w:val="Hyperlink"/>
            <w:noProof/>
            <w:lang w:val="en-US"/>
          </w:rPr>
          <w:t xml:space="preserve">Dynamics 365 </w:t>
        </w:r>
        <w:r w:rsidR="00992B6D" w:rsidRPr="005146B0">
          <w:rPr>
            <w:rStyle w:val="Hyperlink"/>
            <w:noProof/>
          </w:rPr>
          <w:t>Supply Chain Management; Dynamics 365 Finance</w:t>
        </w:r>
        <w:r w:rsidR="00992B6D">
          <w:rPr>
            <w:noProof/>
            <w:webHidden/>
          </w:rPr>
          <w:tab/>
        </w:r>
        <w:r w:rsidR="00992B6D">
          <w:rPr>
            <w:noProof/>
            <w:webHidden/>
          </w:rPr>
          <w:fldChar w:fldCharType="begin"/>
        </w:r>
        <w:r w:rsidR="00992B6D">
          <w:rPr>
            <w:noProof/>
            <w:webHidden/>
          </w:rPr>
          <w:instrText xml:space="preserve"> PAGEREF _Toc25746633 \h </w:instrText>
        </w:r>
        <w:r w:rsidR="00992B6D">
          <w:rPr>
            <w:noProof/>
            <w:webHidden/>
          </w:rPr>
        </w:r>
        <w:r w:rsidR="00992B6D">
          <w:rPr>
            <w:noProof/>
            <w:webHidden/>
          </w:rPr>
          <w:fldChar w:fldCharType="separate"/>
        </w:r>
        <w:r w:rsidR="00992B6D">
          <w:rPr>
            <w:noProof/>
            <w:webHidden/>
          </w:rPr>
          <w:t>8</w:t>
        </w:r>
        <w:r w:rsidR="00992B6D">
          <w:rPr>
            <w:noProof/>
            <w:webHidden/>
          </w:rPr>
          <w:fldChar w:fldCharType="end"/>
        </w:r>
      </w:hyperlink>
    </w:p>
    <w:p w14:paraId="5388EBE1" w14:textId="11BAF997" w:rsidR="00992B6D" w:rsidRDefault="00475864">
      <w:pPr>
        <w:pStyle w:val="TOC4"/>
        <w:tabs>
          <w:tab w:val="right" w:leader="dot" w:pos="5030"/>
        </w:tabs>
        <w:rPr>
          <w:rFonts w:eastAsiaTheme="minorEastAsia"/>
          <w:smallCaps w:val="0"/>
          <w:noProof/>
          <w:sz w:val="22"/>
          <w:lang w:val="en-US" w:eastAsia="en-US" w:bidi="ar-SA"/>
        </w:rPr>
      </w:pPr>
      <w:hyperlink w:anchor="_Toc25746634" w:history="1">
        <w:r w:rsidR="00992B6D" w:rsidRPr="005146B0">
          <w:rPr>
            <w:rStyle w:val="Hyperlink"/>
            <w:noProof/>
          </w:rPr>
          <w:t>Dynamics 365 Retail</w:t>
        </w:r>
        <w:r w:rsidR="00992B6D">
          <w:rPr>
            <w:noProof/>
            <w:webHidden/>
          </w:rPr>
          <w:tab/>
        </w:r>
        <w:r w:rsidR="00992B6D">
          <w:rPr>
            <w:noProof/>
            <w:webHidden/>
          </w:rPr>
          <w:fldChar w:fldCharType="begin"/>
        </w:r>
        <w:r w:rsidR="00992B6D">
          <w:rPr>
            <w:noProof/>
            <w:webHidden/>
          </w:rPr>
          <w:instrText xml:space="preserve"> PAGEREF _Toc25746634 \h </w:instrText>
        </w:r>
        <w:r w:rsidR="00992B6D">
          <w:rPr>
            <w:noProof/>
            <w:webHidden/>
          </w:rPr>
        </w:r>
        <w:r w:rsidR="00992B6D">
          <w:rPr>
            <w:noProof/>
            <w:webHidden/>
          </w:rPr>
          <w:fldChar w:fldCharType="separate"/>
        </w:r>
        <w:r w:rsidR="00992B6D">
          <w:rPr>
            <w:noProof/>
            <w:webHidden/>
          </w:rPr>
          <w:t>8</w:t>
        </w:r>
        <w:r w:rsidR="00992B6D">
          <w:rPr>
            <w:noProof/>
            <w:webHidden/>
          </w:rPr>
          <w:fldChar w:fldCharType="end"/>
        </w:r>
      </w:hyperlink>
    </w:p>
    <w:p w14:paraId="46CDF12D" w14:textId="72BBD863" w:rsidR="00992B6D" w:rsidRDefault="00475864">
      <w:pPr>
        <w:pStyle w:val="TOC4"/>
        <w:tabs>
          <w:tab w:val="right" w:leader="dot" w:pos="5030"/>
        </w:tabs>
        <w:rPr>
          <w:rFonts w:eastAsiaTheme="minorEastAsia"/>
          <w:smallCaps w:val="0"/>
          <w:noProof/>
          <w:sz w:val="22"/>
          <w:lang w:val="en-US" w:eastAsia="en-US" w:bidi="ar-SA"/>
        </w:rPr>
      </w:pPr>
      <w:hyperlink w:anchor="_Toc25746635" w:history="1">
        <w:r w:rsidR="00992B6D" w:rsidRPr="005146B0">
          <w:rPr>
            <w:rStyle w:val="Hyperlink"/>
            <w:noProof/>
            <w:lang w:val="en-US"/>
          </w:rPr>
          <w:t>Dynamics 365 Sales Enterprise ; Dynamics 365 Sales Professional</w:t>
        </w:r>
        <w:r w:rsidR="00992B6D">
          <w:rPr>
            <w:noProof/>
            <w:webHidden/>
          </w:rPr>
          <w:tab/>
        </w:r>
        <w:r w:rsidR="00992B6D">
          <w:rPr>
            <w:noProof/>
            <w:webHidden/>
          </w:rPr>
          <w:fldChar w:fldCharType="begin"/>
        </w:r>
        <w:r w:rsidR="00992B6D">
          <w:rPr>
            <w:noProof/>
            <w:webHidden/>
          </w:rPr>
          <w:instrText xml:space="preserve"> PAGEREF _Toc25746635 \h </w:instrText>
        </w:r>
        <w:r w:rsidR="00992B6D">
          <w:rPr>
            <w:noProof/>
            <w:webHidden/>
          </w:rPr>
        </w:r>
        <w:r w:rsidR="00992B6D">
          <w:rPr>
            <w:noProof/>
            <w:webHidden/>
          </w:rPr>
          <w:fldChar w:fldCharType="separate"/>
        </w:r>
        <w:r w:rsidR="00992B6D">
          <w:rPr>
            <w:noProof/>
            <w:webHidden/>
          </w:rPr>
          <w:t>9</w:t>
        </w:r>
        <w:r w:rsidR="00992B6D">
          <w:rPr>
            <w:noProof/>
            <w:webHidden/>
          </w:rPr>
          <w:fldChar w:fldCharType="end"/>
        </w:r>
      </w:hyperlink>
    </w:p>
    <w:p w14:paraId="65AA2E67" w14:textId="7991D83E" w:rsidR="00992B6D" w:rsidRDefault="00475864">
      <w:pPr>
        <w:pStyle w:val="TOC4"/>
        <w:tabs>
          <w:tab w:val="right" w:leader="dot" w:pos="5030"/>
        </w:tabs>
        <w:rPr>
          <w:rFonts w:eastAsiaTheme="minorEastAsia"/>
          <w:smallCaps w:val="0"/>
          <w:noProof/>
          <w:sz w:val="22"/>
          <w:lang w:val="en-US" w:eastAsia="en-US" w:bidi="ar-SA"/>
        </w:rPr>
      </w:pPr>
      <w:hyperlink w:anchor="_Toc25746636" w:history="1">
        <w:r w:rsidR="00992B6D" w:rsidRPr="005146B0">
          <w:rPr>
            <w:rStyle w:val="Hyperlink"/>
            <w:noProof/>
            <w:lang w:val="en-US"/>
          </w:rPr>
          <w:t>Dynamics 365 Talent ; Dynamics 365 Talent : Onboard</w:t>
        </w:r>
        <w:r w:rsidR="00992B6D">
          <w:rPr>
            <w:noProof/>
            <w:webHidden/>
          </w:rPr>
          <w:tab/>
        </w:r>
        <w:r w:rsidR="00992B6D">
          <w:rPr>
            <w:noProof/>
            <w:webHidden/>
          </w:rPr>
          <w:fldChar w:fldCharType="begin"/>
        </w:r>
        <w:r w:rsidR="00992B6D">
          <w:rPr>
            <w:noProof/>
            <w:webHidden/>
          </w:rPr>
          <w:instrText xml:space="preserve"> PAGEREF _Toc25746636 \h </w:instrText>
        </w:r>
        <w:r w:rsidR="00992B6D">
          <w:rPr>
            <w:noProof/>
            <w:webHidden/>
          </w:rPr>
        </w:r>
        <w:r w:rsidR="00992B6D">
          <w:rPr>
            <w:noProof/>
            <w:webHidden/>
          </w:rPr>
          <w:fldChar w:fldCharType="separate"/>
        </w:r>
        <w:r w:rsidR="00992B6D">
          <w:rPr>
            <w:noProof/>
            <w:webHidden/>
          </w:rPr>
          <w:t>9</w:t>
        </w:r>
        <w:r w:rsidR="00992B6D">
          <w:rPr>
            <w:noProof/>
            <w:webHidden/>
          </w:rPr>
          <w:fldChar w:fldCharType="end"/>
        </w:r>
      </w:hyperlink>
    </w:p>
    <w:p w14:paraId="4CC30434" w14:textId="7FB158F5" w:rsidR="00992B6D" w:rsidRDefault="00475864">
      <w:pPr>
        <w:pStyle w:val="TOC2"/>
        <w:tabs>
          <w:tab w:val="right" w:leader="dot" w:pos="5030"/>
        </w:tabs>
        <w:rPr>
          <w:rFonts w:eastAsiaTheme="minorEastAsia"/>
          <w:b w:val="0"/>
          <w:smallCaps w:val="0"/>
          <w:noProof/>
          <w:sz w:val="22"/>
          <w:lang w:val="en-US" w:eastAsia="en-US" w:bidi="ar-SA"/>
        </w:rPr>
      </w:pPr>
      <w:hyperlink w:anchor="_Toc25746637" w:history="1">
        <w:r w:rsidR="00992B6D" w:rsidRPr="005146B0">
          <w:rPr>
            <w:rStyle w:val="Hyperlink"/>
            <w:noProof/>
            <w:lang w:val="en-US" w:eastAsia="en-US"/>
          </w:rPr>
          <w:t>Services Office 365</w:t>
        </w:r>
        <w:r w:rsidR="00992B6D">
          <w:rPr>
            <w:noProof/>
            <w:webHidden/>
          </w:rPr>
          <w:tab/>
        </w:r>
        <w:r w:rsidR="00992B6D">
          <w:rPr>
            <w:noProof/>
            <w:webHidden/>
          </w:rPr>
          <w:fldChar w:fldCharType="begin"/>
        </w:r>
        <w:r w:rsidR="00992B6D">
          <w:rPr>
            <w:noProof/>
            <w:webHidden/>
          </w:rPr>
          <w:instrText xml:space="preserve"> PAGEREF _Toc25746637 \h </w:instrText>
        </w:r>
        <w:r w:rsidR="00992B6D">
          <w:rPr>
            <w:noProof/>
            <w:webHidden/>
          </w:rPr>
        </w:r>
        <w:r w:rsidR="00992B6D">
          <w:rPr>
            <w:noProof/>
            <w:webHidden/>
          </w:rPr>
          <w:fldChar w:fldCharType="separate"/>
        </w:r>
        <w:r w:rsidR="00992B6D">
          <w:rPr>
            <w:noProof/>
            <w:webHidden/>
          </w:rPr>
          <w:t>10</w:t>
        </w:r>
        <w:r w:rsidR="00992B6D">
          <w:rPr>
            <w:noProof/>
            <w:webHidden/>
          </w:rPr>
          <w:fldChar w:fldCharType="end"/>
        </w:r>
      </w:hyperlink>
    </w:p>
    <w:p w14:paraId="7085101C" w14:textId="3BD58793" w:rsidR="00992B6D" w:rsidRDefault="00475864">
      <w:pPr>
        <w:pStyle w:val="TOC4"/>
        <w:tabs>
          <w:tab w:val="right" w:leader="dot" w:pos="5030"/>
        </w:tabs>
        <w:rPr>
          <w:rFonts w:eastAsiaTheme="minorEastAsia"/>
          <w:smallCaps w:val="0"/>
          <w:noProof/>
          <w:sz w:val="22"/>
          <w:lang w:val="en-US" w:eastAsia="en-US" w:bidi="ar-SA"/>
        </w:rPr>
      </w:pPr>
      <w:hyperlink w:anchor="_Toc25746638" w:history="1">
        <w:r w:rsidR="00992B6D" w:rsidRPr="005146B0">
          <w:rPr>
            <w:rStyle w:val="Hyperlink"/>
            <w:noProof/>
            <w:lang w:val="en-US" w:eastAsia="en-US"/>
          </w:rPr>
          <w:t>Duet Enterprise Online</w:t>
        </w:r>
        <w:r w:rsidR="00992B6D">
          <w:rPr>
            <w:noProof/>
            <w:webHidden/>
          </w:rPr>
          <w:tab/>
        </w:r>
        <w:r w:rsidR="00992B6D">
          <w:rPr>
            <w:noProof/>
            <w:webHidden/>
          </w:rPr>
          <w:fldChar w:fldCharType="begin"/>
        </w:r>
        <w:r w:rsidR="00992B6D">
          <w:rPr>
            <w:noProof/>
            <w:webHidden/>
          </w:rPr>
          <w:instrText xml:space="preserve"> PAGEREF _Toc25746638 \h </w:instrText>
        </w:r>
        <w:r w:rsidR="00992B6D">
          <w:rPr>
            <w:noProof/>
            <w:webHidden/>
          </w:rPr>
        </w:r>
        <w:r w:rsidR="00992B6D">
          <w:rPr>
            <w:noProof/>
            <w:webHidden/>
          </w:rPr>
          <w:fldChar w:fldCharType="separate"/>
        </w:r>
        <w:r w:rsidR="00992B6D">
          <w:rPr>
            <w:noProof/>
            <w:webHidden/>
          </w:rPr>
          <w:t>10</w:t>
        </w:r>
        <w:r w:rsidR="00992B6D">
          <w:rPr>
            <w:noProof/>
            <w:webHidden/>
          </w:rPr>
          <w:fldChar w:fldCharType="end"/>
        </w:r>
      </w:hyperlink>
    </w:p>
    <w:p w14:paraId="3BC7FE7A" w14:textId="521E2AD1" w:rsidR="00992B6D" w:rsidRDefault="00475864">
      <w:pPr>
        <w:pStyle w:val="TOC4"/>
        <w:tabs>
          <w:tab w:val="right" w:leader="dot" w:pos="5030"/>
        </w:tabs>
        <w:rPr>
          <w:rFonts w:eastAsiaTheme="minorEastAsia"/>
          <w:smallCaps w:val="0"/>
          <w:noProof/>
          <w:sz w:val="22"/>
          <w:lang w:val="en-US" w:eastAsia="en-US" w:bidi="ar-SA"/>
        </w:rPr>
      </w:pPr>
      <w:hyperlink w:anchor="_Toc25746639" w:history="1">
        <w:r w:rsidR="00992B6D" w:rsidRPr="005146B0">
          <w:rPr>
            <w:rStyle w:val="Hyperlink"/>
            <w:noProof/>
            <w:lang w:eastAsia="en-US"/>
          </w:rPr>
          <w:t>Exchange Online</w:t>
        </w:r>
        <w:r w:rsidR="00992B6D">
          <w:rPr>
            <w:noProof/>
            <w:webHidden/>
          </w:rPr>
          <w:tab/>
        </w:r>
        <w:r w:rsidR="00992B6D">
          <w:rPr>
            <w:noProof/>
            <w:webHidden/>
          </w:rPr>
          <w:fldChar w:fldCharType="begin"/>
        </w:r>
        <w:r w:rsidR="00992B6D">
          <w:rPr>
            <w:noProof/>
            <w:webHidden/>
          </w:rPr>
          <w:instrText xml:space="preserve"> PAGEREF _Toc25746639 \h </w:instrText>
        </w:r>
        <w:r w:rsidR="00992B6D">
          <w:rPr>
            <w:noProof/>
            <w:webHidden/>
          </w:rPr>
        </w:r>
        <w:r w:rsidR="00992B6D">
          <w:rPr>
            <w:noProof/>
            <w:webHidden/>
          </w:rPr>
          <w:fldChar w:fldCharType="separate"/>
        </w:r>
        <w:r w:rsidR="00992B6D">
          <w:rPr>
            <w:noProof/>
            <w:webHidden/>
          </w:rPr>
          <w:t>10</w:t>
        </w:r>
        <w:r w:rsidR="00992B6D">
          <w:rPr>
            <w:noProof/>
            <w:webHidden/>
          </w:rPr>
          <w:fldChar w:fldCharType="end"/>
        </w:r>
      </w:hyperlink>
    </w:p>
    <w:p w14:paraId="027A755A" w14:textId="5151FDCB" w:rsidR="00992B6D" w:rsidRDefault="00475864">
      <w:pPr>
        <w:pStyle w:val="TOC4"/>
        <w:tabs>
          <w:tab w:val="right" w:leader="dot" w:pos="5030"/>
        </w:tabs>
        <w:rPr>
          <w:rFonts w:eastAsiaTheme="minorEastAsia"/>
          <w:smallCaps w:val="0"/>
          <w:noProof/>
          <w:sz w:val="22"/>
          <w:lang w:val="en-US" w:eastAsia="en-US" w:bidi="ar-SA"/>
        </w:rPr>
      </w:pPr>
      <w:hyperlink w:anchor="_Toc25746640" w:history="1">
        <w:r w:rsidR="00992B6D" w:rsidRPr="005146B0">
          <w:rPr>
            <w:rStyle w:val="Hyperlink"/>
            <w:noProof/>
            <w:lang w:eastAsia="en-US"/>
          </w:rPr>
          <w:t>Exchange Online Archiving</w:t>
        </w:r>
        <w:r w:rsidR="00992B6D">
          <w:rPr>
            <w:noProof/>
            <w:webHidden/>
          </w:rPr>
          <w:tab/>
        </w:r>
        <w:r w:rsidR="00992B6D">
          <w:rPr>
            <w:noProof/>
            <w:webHidden/>
          </w:rPr>
          <w:fldChar w:fldCharType="begin"/>
        </w:r>
        <w:r w:rsidR="00992B6D">
          <w:rPr>
            <w:noProof/>
            <w:webHidden/>
          </w:rPr>
          <w:instrText xml:space="preserve"> PAGEREF _Toc25746640 \h </w:instrText>
        </w:r>
        <w:r w:rsidR="00992B6D">
          <w:rPr>
            <w:noProof/>
            <w:webHidden/>
          </w:rPr>
        </w:r>
        <w:r w:rsidR="00992B6D">
          <w:rPr>
            <w:noProof/>
            <w:webHidden/>
          </w:rPr>
          <w:fldChar w:fldCharType="separate"/>
        </w:r>
        <w:r w:rsidR="00992B6D">
          <w:rPr>
            <w:noProof/>
            <w:webHidden/>
          </w:rPr>
          <w:t>11</w:t>
        </w:r>
        <w:r w:rsidR="00992B6D">
          <w:rPr>
            <w:noProof/>
            <w:webHidden/>
          </w:rPr>
          <w:fldChar w:fldCharType="end"/>
        </w:r>
      </w:hyperlink>
    </w:p>
    <w:p w14:paraId="2EF4A7CE" w14:textId="1814E584" w:rsidR="00992B6D" w:rsidRDefault="00475864">
      <w:pPr>
        <w:pStyle w:val="TOC4"/>
        <w:tabs>
          <w:tab w:val="right" w:leader="dot" w:pos="5030"/>
        </w:tabs>
        <w:rPr>
          <w:rFonts w:eastAsiaTheme="minorEastAsia"/>
          <w:smallCaps w:val="0"/>
          <w:noProof/>
          <w:sz w:val="22"/>
          <w:lang w:val="en-US" w:eastAsia="en-US" w:bidi="ar-SA"/>
        </w:rPr>
      </w:pPr>
      <w:hyperlink w:anchor="_Toc25746641" w:history="1">
        <w:r w:rsidR="00992B6D" w:rsidRPr="005146B0">
          <w:rPr>
            <w:rStyle w:val="Hyperlink"/>
            <w:noProof/>
            <w:lang w:eastAsia="en-US"/>
          </w:rPr>
          <w:t>Exchange Online Protection</w:t>
        </w:r>
        <w:r w:rsidR="00992B6D">
          <w:rPr>
            <w:noProof/>
            <w:webHidden/>
          </w:rPr>
          <w:tab/>
        </w:r>
        <w:r w:rsidR="00992B6D">
          <w:rPr>
            <w:noProof/>
            <w:webHidden/>
          </w:rPr>
          <w:fldChar w:fldCharType="begin"/>
        </w:r>
        <w:r w:rsidR="00992B6D">
          <w:rPr>
            <w:noProof/>
            <w:webHidden/>
          </w:rPr>
          <w:instrText xml:space="preserve"> PAGEREF _Toc25746641 \h </w:instrText>
        </w:r>
        <w:r w:rsidR="00992B6D">
          <w:rPr>
            <w:noProof/>
            <w:webHidden/>
          </w:rPr>
        </w:r>
        <w:r w:rsidR="00992B6D">
          <w:rPr>
            <w:noProof/>
            <w:webHidden/>
          </w:rPr>
          <w:fldChar w:fldCharType="separate"/>
        </w:r>
        <w:r w:rsidR="00992B6D">
          <w:rPr>
            <w:noProof/>
            <w:webHidden/>
          </w:rPr>
          <w:t>11</w:t>
        </w:r>
        <w:r w:rsidR="00992B6D">
          <w:rPr>
            <w:noProof/>
            <w:webHidden/>
          </w:rPr>
          <w:fldChar w:fldCharType="end"/>
        </w:r>
      </w:hyperlink>
    </w:p>
    <w:p w14:paraId="7AD666D2" w14:textId="24AC4957" w:rsidR="00992B6D" w:rsidRDefault="00475864">
      <w:pPr>
        <w:pStyle w:val="TOC4"/>
        <w:tabs>
          <w:tab w:val="right" w:leader="dot" w:pos="5030"/>
        </w:tabs>
        <w:rPr>
          <w:rFonts w:eastAsiaTheme="minorEastAsia"/>
          <w:smallCaps w:val="0"/>
          <w:noProof/>
          <w:sz w:val="22"/>
          <w:lang w:val="en-US" w:eastAsia="en-US" w:bidi="ar-SA"/>
        </w:rPr>
      </w:pPr>
      <w:hyperlink w:anchor="_Toc25746642" w:history="1">
        <w:r w:rsidR="00992B6D" w:rsidRPr="005146B0">
          <w:rPr>
            <w:rStyle w:val="Hyperlink"/>
            <w:noProof/>
          </w:rPr>
          <w:t>Microsoft MyAnalytics</w:t>
        </w:r>
        <w:r w:rsidR="00992B6D">
          <w:rPr>
            <w:noProof/>
            <w:webHidden/>
          </w:rPr>
          <w:tab/>
        </w:r>
        <w:r w:rsidR="00992B6D">
          <w:rPr>
            <w:noProof/>
            <w:webHidden/>
          </w:rPr>
          <w:fldChar w:fldCharType="begin"/>
        </w:r>
        <w:r w:rsidR="00992B6D">
          <w:rPr>
            <w:noProof/>
            <w:webHidden/>
          </w:rPr>
          <w:instrText xml:space="preserve"> PAGEREF _Toc25746642 \h </w:instrText>
        </w:r>
        <w:r w:rsidR="00992B6D">
          <w:rPr>
            <w:noProof/>
            <w:webHidden/>
          </w:rPr>
        </w:r>
        <w:r w:rsidR="00992B6D">
          <w:rPr>
            <w:noProof/>
            <w:webHidden/>
          </w:rPr>
          <w:fldChar w:fldCharType="separate"/>
        </w:r>
        <w:r w:rsidR="00992B6D">
          <w:rPr>
            <w:noProof/>
            <w:webHidden/>
          </w:rPr>
          <w:t>12</w:t>
        </w:r>
        <w:r w:rsidR="00992B6D">
          <w:rPr>
            <w:noProof/>
            <w:webHidden/>
          </w:rPr>
          <w:fldChar w:fldCharType="end"/>
        </w:r>
      </w:hyperlink>
    </w:p>
    <w:p w14:paraId="0E338718" w14:textId="1C17B626" w:rsidR="00992B6D" w:rsidRDefault="00475864">
      <w:pPr>
        <w:pStyle w:val="TOC4"/>
        <w:tabs>
          <w:tab w:val="right" w:leader="dot" w:pos="5030"/>
        </w:tabs>
        <w:rPr>
          <w:rFonts w:eastAsiaTheme="minorEastAsia"/>
          <w:smallCaps w:val="0"/>
          <w:noProof/>
          <w:sz w:val="22"/>
          <w:lang w:val="en-US" w:eastAsia="en-US" w:bidi="ar-SA"/>
        </w:rPr>
      </w:pPr>
      <w:hyperlink w:anchor="_Toc25746643" w:history="1">
        <w:r w:rsidR="00992B6D" w:rsidRPr="005146B0">
          <w:rPr>
            <w:rStyle w:val="Hyperlink"/>
            <w:noProof/>
          </w:rPr>
          <w:t>Microsoft Stream</w:t>
        </w:r>
        <w:r w:rsidR="00992B6D">
          <w:rPr>
            <w:noProof/>
            <w:webHidden/>
          </w:rPr>
          <w:tab/>
        </w:r>
        <w:r w:rsidR="00992B6D">
          <w:rPr>
            <w:noProof/>
            <w:webHidden/>
          </w:rPr>
          <w:fldChar w:fldCharType="begin"/>
        </w:r>
        <w:r w:rsidR="00992B6D">
          <w:rPr>
            <w:noProof/>
            <w:webHidden/>
          </w:rPr>
          <w:instrText xml:space="preserve"> PAGEREF _Toc25746643 \h </w:instrText>
        </w:r>
        <w:r w:rsidR="00992B6D">
          <w:rPr>
            <w:noProof/>
            <w:webHidden/>
          </w:rPr>
        </w:r>
        <w:r w:rsidR="00992B6D">
          <w:rPr>
            <w:noProof/>
            <w:webHidden/>
          </w:rPr>
          <w:fldChar w:fldCharType="separate"/>
        </w:r>
        <w:r w:rsidR="00992B6D">
          <w:rPr>
            <w:noProof/>
            <w:webHidden/>
          </w:rPr>
          <w:t>12</w:t>
        </w:r>
        <w:r w:rsidR="00992B6D">
          <w:rPr>
            <w:noProof/>
            <w:webHidden/>
          </w:rPr>
          <w:fldChar w:fldCharType="end"/>
        </w:r>
      </w:hyperlink>
    </w:p>
    <w:p w14:paraId="69D2607C" w14:textId="505938E4" w:rsidR="00992B6D" w:rsidRDefault="00475864">
      <w:pPr>
        <w:pStyle w:val="TOC4"/>
        <w:tabs>
          <w:tab w:val="right" w:leader="dot" w:pos="5030"/>
        </w:tabs>
        <w:rPr>
          <w:rFonts w:eastAsiaTheme="minorEastAsia"/>
          <w:smallCaps w:val="0"/>
          <w:noProof/>
          <w:sz w:val="22"/>
          <w:lang w:val="en-US" w:eastAsia="en-US" w:bidi="ar-SA"/>
        </w:rPr>
      </w:pPr>
      <w:hyperlink w:anchor="_Toc25746644" w:history="1">
        <w:r w:rsidR="00992B6D" w:rsidRPr="005146B0">
          <w:rPr>
            <w:rStyle w:val="Hyperlink"/>
            <w:noProof/>
          </w:rPr>
          <w:t>Microsoft Teams</w:t>
        </w:r>
        <w:r w:rsidR="00992B6D">
          <w:rPr>
            <w:noProof/>
            <w:webHidden/>
          </w:rPr>
          <w:tab/>
        </w:r>
        <w:r w:rsidR="00992B6D">
          <w:rPr>
            <w:noProof/>
            <w:webHidden/>
          </w:rPr>
          <w:fldChar w:fldCharType="begin"/>
        </w:r>
        <w:r w:rsidR="00992B6D">
          <w:rPr>
            <w:noProof/>
            <w:webHidden/>
          </w:rPr>
          <w:instrText xml:space="preserve"> PAGEREF _Toc25746644 \h </w:instrText>
        </w:r>
        <w:r w:rsidR="00992B6D">
          <w:rPr>
            <w:noProof/>
            <w:webHidden/>
          </w:rPr>
        </w:r>
        <w:r w:rsidR="00992B6D">
          <w:rPr>
            <w:noProof/>
            <w:webHidden/>
          </w:rPr>
          <w:fldChar w:fldCharType="separate"/>
        </w:r>
        <w:r w:rsidR="00992B6D">
          <w:rPr>
            <w:noProof/>
            <w:webHidden/>
          </w:rPr>
          <w:t>12</w:t>
        </w:r>
        <w:r w:rsidR="00992B6D">
          <w:rPr>
            <w:noProof/>
            <w:webHidden/>
          </w:rPr>
          <w:fldChar w:fldCharType="end"/>
        </w:r>
      </w:hyperlink>
    </w:p>
    <w:p w14:paraId="46CC5ACD" w14:textId="009A2447" w:rsidR="00992B6D" w:rsidRDefault="00475864">
      <w:pPr>
        <w:pStyle w:val="TOC4"/>
        <w:tabs>
          <w:tab w:val="right" w:leader="dot" w:pos="5030"/>
        </w:tabs>
        <w:rPr>
          <w:rFonts w:eastAsiaTheme="minorEastAsia"/>
          <w:smallCaps w:val="0"/>
          <w:noProof/>
          <w:sz w:val="22"/>
          <w:lang w:val="en-US" w:eastAsia="en-US" w:bidi="ar-SA"/>
        </w:rPr>
      </w:pPr>
      <w:hyperlink w:anchor="_Toc25746645" w:history="1">
        <w:r w:rsidR="00992B6D" w:rsidRPr="005146B0">
          <w:rPr>
            <w:rStyle w:val="Hyperlink"/>
            <w:noProof/>
            <w:lang w:eastAsia="en-US"/>
          </w:rPr>
          <w:t>Office 365 Business</w:t>
        </w:r>
        <w:r w:rsidR="00992B6D">
          <w:rPr>
            <w:noProof/>
            <w:webHidden/>
          </w:rPr>
          <w:tab/>
        </w:r>
        <w:r w:rsidR="00992B6D">
          <w:rPr>
            <w:noProof/>
            <w:webHidden/>
          </w:rPr>
          <w:fldChar w:fldCharType="begin"/>
        </w:r>
        <w:r w:rsidR="00992B6D">
          <w:rPr>
            <w:noProof/>
            <w:webHidden/>
          </w:rPr>
          <w:instrText xml:space="preserve"> PAGEREF _Toc25746645 \h </w:instrText>
        </w:r>
        <w:r w:rsidR="00992B6D">
          <w:rPr>
            <w:noProof/>
            <w:webHidden/>
          </w:rPr>
        </w:r>
        <w:r w:rsidR="00992B6D">
          <w:rPr>
            <w:noProof/>
            <w:webHidden/>
          </w:rPr>
          <w:fldChar w:fldCharType="separate"/>
        </w:r>
        <w:r w:rsidR="00992B6D">
          <w:rPr>
            <w:noProof/>
            <w:webHidden/>
          </w:rPr>
          <w:t>13</w:t>
        </w:r>
        <w:r w:rsidR="00992B6D">
          <w:rPr>
            <w:noProof/>
            <w:webHidden/>
          </w:rPr>
          <w:fldChar w:fldCharType="end"/>
        </w:r>
      </w:hyperlink>
    </w:p>
    <w:p w14:paraId="28C43793" w14:textId="695AFB51" w:rsidR="00992B6D" w:rsidRDefault="00475864">
      <w:pPr>
        <w:pStyle w:val="TOC4"/>
        <w:tabs>
          <w:tab w:val="right" w:leader="dot" w:pos="5030"/>
        </w:tabs>
        <w:rPr>
          <w:rFonts w:eastAsiaTheme="minorEastAsia"/>
          <w:smallCaps w:val="0"/>
          <w:noProof/>
          <w:sz w:val="22"/>
          <w:lang w:val="en-US" w:eastAsia="en-US" w:bidi="ar-SA"/>
        </w:rPr>
      </w:pPr>
      <w:hyperlink w:anchor="_Toc25746646" w:history="1">
        <w:r w:rsidR="00992B6D" w:rsidRPr="005146B0">
          <w:rPr>
            <w:rStyle w:val="Hyperlink"/>
            <w:noProof/>
          </w:rPr>
          <w:t>Conformité avancée Office 365</w:t>
        </w:r>
        <w:r w:rsidR="00992B6D">
          <w:rPr>
            <w:noProof/>
            <w:webHidden/>
          </w:rPr>
          <w:tab/>
        </w:r>
        <w:r w:rsidR="00992B6D">
          <w:rPr>
            <w:noProof/>
            <w:webHidden/>
          </w:rPr>
          <w:fldChar w:fldCharType="begin"/>
        </w:r>
        <w:r w:rsidR="00992B6D">
          <w:rPr>
            <w:noProof/>
            <w:webHidden/>
          </w:rPr>
          <w:instrText xml:space="preserve"> PAGEREF _Toc25746646 \h </w:instrText>
        </w:r>
        <w:r w:rsidR="00992B6D">
          <w:rPr>
            <w:noProof/>
            <w:webHidden/>
          </w:rPr>
        </w:r>
        <w:r w:rsidR="00992B6D">
          <w:rPr>
            <w:noProof/>
            <w:webHidden/>
          </w:rPr>
          <w:fldChar w:fldCharType="separate"/>
        </w:r>
        <w:r w:rsidR="00992B6D">
          <w:rPr>
            <w:noProof/>
            <w:webHidden/>
          </w:rPr>
          <w:t>13</w:t>
        </w:r>
        <w:r w:rsidR="00992B6D">
          <w:rPr>
            <w:noProof/>
            <w:webHidden/>
          </w:rPr>
          <w:fldChar w:fldCharType="end"/>
        </w:r>
      </w:hyperlink>
    </w:p>
    <w:p w14:paraId="0A94D8B9" w14:textId="7F457DEF" w:rsidR="00992B6D" w:rsidRDefault="00475864">
      <w:pPr>
        <w:pStyle w:val="TOC4"/>
        <w:tabs>
          <w:tab w:val="right" w:leader="dot" w:pos="5030"/>
        </w:tabs>
        <w:rPr>
          <w:rFonts w:eastAsiaTheme="minorEastAsia"/>
          <w:smallCaps w:val="0"/>
          <w:noProof/>
          <w:sz w:val="22"/>
          <w:lang w:val="en-US" w:eastAsia="en-US" w:bidi="ar-SA"/>
        </w:rPr>
      </w:pPr>
      <w:hyperlink w:anchor="_Toc25746647" w:history="1">
        <w:r w:rsidR="00992B6D" w:rsidRPr="005146B0">
          <w:rPr>
            <w:rStyle w:val="Hyperlink"/>
            <w:noProof/>
            <w:lang w:val="en-US" w:eastAsia="en-US"/>
          </w:rPr>
          <w:t>Office 365 ProPlus</w:t>
        </w:r>
        <w:r w:rsidR="00992B6D">
          <w:rPr>
            <w:noProof/>
            <w:webHidden/>
          </w:rPr>
          <w:tab/>
        </w:r>
        <w:r w:rsidR="00992B6D">
          <w:rPr>
            <w:noProof/>
            <w:webHidden/>
          </w:rPr>
          <w:fldChar w:fldCharType="begin"/>
        </w:r>
        <w:r w:rsidR="00992B6D">
          <w:rPr>
            <w:noProof/>
            <w:webHidden/>
          </w:rPr>
          <w:instrText xml:space="preserve"> PAGEREF _Toc25746647 \h </w:instrText>
        </w:r>
        <w:r w:rsidR="00992B6D">
          <w:rPr>
            <w:noProof/>
            <w:webHidden/>
          </w:rPr>
        </w:r>
        <w:r w:rsidR="00992B6D">
          <w:rPr>
            <w:noProof/>
            <w:webHidden/>
          </w:rPr>
          <w:fldChar w:fldCharType="separate"/>
        </w:r>
        <w:r w:rsidR="00992B6D">
          <w:rPr>
            <w:noProof/>
            <w:webHidden/>
          </w:rPr>
          <w:t>14</w:t>
        </w:r>
        <w:r w:rsidR="00992B6D">
          <w:rPr>
            <w:noProof/>
            <w:webHidden/>
          </w:rPr>
          <w:fldChar w:fldCharType="end"/>
        </w:r>
      </w:hyperlink>
    </w:p>
    <w:p w14:paraId="0B4AEE47" w14:textId="674532A2" w:rsidR="00992B6D" w:rsidRDefault="00475864">
      <w:pPr>
        <w:pStyle w:val="TOC4"/>
        <w:tabs>
          <w:tab w:val="right" w:leader="dot" w:pos="5030"/>
        </w:tabs>
        <w:rPr>
          <w:rFonts w:eastAsiaTheme="minorEastAsia"/>
          <w:smallCaps w:val="0"/>
          <w:noProof/>
          <w:sz w:val="22"/>
          <w:lang w:val="en-US" w:eastAsia="en-US" w:bidi="ar-SA"/>
        </w:rPr>
      </w:pPr>
      <w:hyperlink w:anchor="_Toc25746648" w:history="1">
        <w:r w:rsidR="00992B6D" w:rsidRPr="005146B0">
          <w:rPr>
            <w:rStyle w:val="Hyperlink"/>
            <w:noProof/>
            <w:lang w:val="en-US" w:eastAsia="en-US"/>
          </w:rPr>
          <w:t>Office Online</w:t>
        </w:r>
        <w:r w:rsidR="00992B6D">
          <w:rPr>
            <w:noProof/>
            <w:webHidden/>
          </w:rPr>
          <w:tab/>
        </w:r>
        <w:r w:rsidR="00992B6D">
          <w:rPr>
            <w:noProof/>
            <w:webHidden/>
          </w:rPr>
          <w:fldChar w:fldCharType="begin"/>
        </w:r>
        <w:r w:rsidR="00992B6D">
          <w:rPr>
            <w:noProof/>
            <w:webHidden/>
          </w:rPr>
          <w:instrText xml:space="preserve"> PAGEREF _Toc25746648 \h </w:instrText>
        </w:r>
        <w:r w:rsidR="00992B6D">
          <w:rPr>
            <w:noProof/>
            <w:webHidden/>
          </w:rPr>
        </w:r>
        <w:r w:rsidR="00992B6D">
          <w:rPr>
            <w:noProof/>
            <w:webHidden/>
          </w:rPr>
          <w:fldChar w:fldCharType="separate"/>
        </w:r>
        <w:r w:rsidR="00992B6D">
          <w:rPr>
            <w:noProof/>
            <w:webHidden/>
          </w:rPr>
          <w:t>14</w:t>
        </w:r>
        <w:r w:rsidR="00992B6D">
          <w:rPr>
            <w:noProof/>
            <w:webHidden/>
          </w:rPr>
          <w:fldChar w:fldCharType="end"/>
        </w:r>
      </w:hyperlink>
    </w:p>
    <w:p w14:paraId="54A3CEB1" w14:textId="5ADF1029" w:rsidR="00992B6D" w:rsidRDefault="00475864">
      <w:pPr>
        <w:pStyle w:val="TOC4"/>
        <w:tabs>
          <w:tab w:val="right" w:leader="dot" w:pos="5030"/>
        </w:tabs>
        <w:rPr>
          <w:rFonts w:eastAsiaTheme="minorEastAsia"/>
          <w:smallCaps w:val="0"/>
          <w:noProof/>
          <w:sz w:val="22"/>
          <w:lang w:val="en-US" w:eastAsia="en-US" w:bidi="ar-SA"/>
        </w:rPr>
      </w:pPr>
      <w:hyperlink w:anchor="_Toc25746649" w:history="1">
        <w:r w:rsidR="00992B6D" w:rsidRPr="005146B0">
          <w:rPr>
            <w:rStyle w:val="Hyperlink"/>
            <w:noProof/>
            <w:lang w:val="en-US" w:eastAsia="en-US"/>
          </w:rPr>
          <w:t>Office 365 Video</w:t>
        </w:r>
        <w:r w:rsidR="00992B6D">
          <w:rPr>
            <w:noProof/>
            <w:webHidden/>
          </w:rPr>
          <w:tab/>
        </w:r>
        <w:r w:rsidR="00992B6D">
          <w:rPr>
            <w:noProof/>
            <w:webHidden/>
          </w:rPr>
          <w:fldChar w:fldCharType="begin"/>
        </w:r>
        <w:r w:rsidR="00992B6D">
          <w:rPr>
            <w:noProof/>
            <w:webHidden/>
          </w:rPr>
          <w:instrText xml:space="preserve"> PAGEREF _Toc25746649 \h </w:instrText>
        </w:r>
        <w:r w:rsidR="00992B6D">
          <w:rPr>
            <w:noProof/>
            <w:webHidden/>
          </w:rPr>
        </w:r>
        <w:r w:rsidR="00992B6D">
          <w:rPr>
            <w:noProof/>
            <w:webHidden/>
          </w:rPr>
          <w:fldChar w:fldCharType="separate"/>
        </w:r>
        <w:r w:rsidR="00992B6D">
          <w:rPr>
            <w:noProof/>
            <w:webHidden/>
          </w:rPr>
          <w:t>14</w:t>
        </w:r>
        <w:r w:rsidR="00992B6D">
          <w:rPr>
            <w:noProof/>
            <w:webHidden/>
          </w:rPr>
          <w:fldChar w:fldCharType="end"/>
        </w:r>
      </w:hyperlink>
    </w:p>
    <w:p w14:paraId="2B3D3F48" w14:textId="7A78CFDA" w:rsidR="00992B6D" w:rsidRDefault="00475864">
      <w:pPr>
        <w:pStyle w:val="TOC4"/>
        <w:tabs>
          <w:tab w:val="right" w:leader="dot" w:pos="5030"/>
        </w:tabs>
        <w:rPr>
          <w:rFonts w:eastAsiaTheme="minorEastAsia"/>
          <w:smallCaps w:val="0"/>
          <w:noProof/>
          <w:sz w:val="22"/>
          <w:lang w:val="en-US" w:eastAsia="en-US" w:bidi="ar-SA"/>
        </w:rPr>
      </w:pPr>
      <w:hyperlink w:anchor="_Toc25746650" w:history="1">
        <w:r w:rsidR="00992B6D" w:rsidRPr="005146B0">
          <w:rPr>
            <w:rStyle w:val="Hyperlink"/>
            <w:noProof/>
            <w:lang w:val="en-US" w:eastAsia="en-US"/>
          </w:rPr>
          <w:t>OneDrive Entreprise</w:t>
        </w:r>
        <w:r w:rsidR="00992B6D">
          <w:rPr>
            <w:noProof/>
            <w:webHidden/>
          </w:rPr>
          <w:tab/>
        </w:r>
        <w:r w:rsidR="00992B6D">
          <w:rPr>
            <w:noProof/>
            <w:webHidden/>
          </w:rPr>
          <w:fldChar w:fldCharType="begin"/>
        </w:r>
        <w:r w:rsidR="00992B6D">
          <w:rPr>
            <w:noProof/>
            <w:webHidden/>
          </w:rPr>
          <w:instrText xml:space="preserve"> PAGEREF _Toc25746650 \h </w:instrText>
        </w:r>
        <w:r w:rsidR="00992B6D">
          <w:rPr>
            <w:noProof/>
            <w:webHidden/>
          </w:rPr>
        </w:r>
        <w:r w:rsidR="00992B6D">
          <w:rPr>
            <w:noProof/>
            <w:webHidden/>
          </w:rPr>
          <w:fldChar w:fldCharType="separate"/>
        </w:r>
        <w:r w:rsidR="00992B6D">
          <w:rPr>
            <w:noProof/>
            <w:webHidden/>
          </w:rPr>
          <w:t>15</w:t>
        </w:r>
        <w:r w:rsidR="00992B6D">
          <w:rPr>
            <w:noProof/>
            <w:webHidden/>
          </w:rPr>
          <w:fldChar w:fldCharType="end"/>
        </w:r>
      </w:hyperlink>
    </w:p>
    <w:p w14:paraId="67B184F8" w14:textId="017842F8" w:rsidR="00992B6D" w:rsidRDefault="00475864">
      <w:pPr>
        <w:pStyle w:val="TOC4"/>
        <w:tabs>
          <w:tab w:val="right" w:leader="dot" w:pos="5030"/>
        </w:tabs>
        <w:rPr>
          <w:rFonts w:eastAsiaTheme="minorEastAsia"/>
          <w:smallCaps w:val="0"/>
          <w:noProof/>
          <w:sz w:val="22"/>
          <w:lang w:val="en-US" w:eastAsia="en-US" w:bidi="ar-SA"/>
        </w:rPr>
      </w:pPr>
      <w:hyperlink w:anchor="_Toc25746651" w:history="1">
        <w:r w:rsidR="00992B6D" w:rsidRPr="005146B0">
          <w:rPr>
            <w:rStyle w:val="Hyperlink"/>
            <w:noProof/>
            <w:lang w:eastAsia="en-US"/>
          </w:rPr>
          <w:t>Project Online</w:t>
        </w:r>
        <w:r w:rsidR="00992B6D">
          <w:rPr>
            <w:noProof/>
            <w:webHidden/>
          </w:rPr>
          <w:tab/>
        </w:r>
        <w:r w:rsidR="00992B6D">
          <w:rPr>
            <w:noProof/>
            <w:webHidden/>
          </w:rPr>
          <w:fldChar w:fldCharType="begin"/>
        </w:r>
        <w:r w:rsidR="00992B6D">
          <w:rPr>
            <w:noProof/>
            <w:webHidden/>
          </w:rPr>
          <w:instrText xml:space="preserve"> PAGEREF _Toc25746651 \h </w:instrText>
        </w:r>
        <w:r w:rsidR="00992B6D">
          <w:rPr>
            <w:noProof/>
            <w:webHidden/>
          </w:rPr>
        </w:r>
        <w:r w:rsidR="00992B6D">
          <w:rPr>
            <w:noProof/>
            <w:webHidden/>
          </w:rPr>
          <w:fldChar w:fldCharType="separate"/>
        </w:r>
        <w:r w:rsidR="00992B6D">
          <w:rPr>
            <w:noProof/>
            <w:webHidden/>
          </w:rPr>
          <w:t>15</w:t>
        </w:r>
        <w:r w:rsidR="00992B6D">
          <w:rPr>
            <w:noProof/>
            <w:webHidden/>
          </w:rPr>
          <w:fldChar w:fldCharType="end"/>
        </w:r>
      </w:hyperlink>
    </w:p>
    <w:p w14:paraId="204719CD" w14:textId="6A07EAD3" w:rsidR="00992B6D" w:rsidRDefault="00475864">
      <w:pPr>
        <w:pStyle w:val="TOC4"/>
        <w:tabs>
          <w:tab w:val="right" w:leader="dot" w:pos="5030"/>
        </w:tabs>
        <w:rPr>
          <w:rFonts w:eastAsiaTheme="minorEastAsia"/>
          <w:smallCaps w:val="0"/>
          <w:noProof/>
          <w:sz w:val="22"/>
          <w:lang w:val="en-US" w:eastAsia="en-US" w:bidi="ar-SA"/>
        </w:rPr>
      </w:pPr>
      <w:hyperlink w:anchor="_Toc25746652" w:history="1">
        <w:r w:rsidR="00992B6D" w:rsidRPr="005146B0">
          <w:rPr>
            <w:rStyle w:val="Hyperlink"/>
            <w:noProof/>
            <w:lang w:val="en-US" w:eastAsia="en-US"/>
          </w:rPr>
          <w:t>SharePoint Online</w:t>
        </w:r>
        <w:r w:rsidR="00992B6D">
          <w:rPr>
            <w:noProof/>
            <w:webHidden/>
          </w:rPr>
          <w:tab/>
        </w:r>
        <w:r w:rsidR="00992B6D">
          <w:rPr>
            <w:noProof/>
            <w:webHidden/>
          </w:rPr>
          <w:fldChar w:fldCharType="begin"/>
        </w:r>
        <w:r w:rsidR="00992B6D">
          <w:rPr>
            <w:noProof/>
            <w:webHidden/>
          </w:rPr>
          <w:instrText xml:space="preserve"> PAGEREF _Toc25746652 \h </w:instrText>
        </w:r>
        <w:r w:rsidR="00992B6D">
          <w:rPr>
            <w:noProof/>
            <w:webHidden/>
          </w:rPr>
        </w:r>
        <w:r w:rsidR="00992B6D">
          <w:rPr>
            <w:noProof/>
            <w:webHidden/>
          </w:rPr>
          <w:fldChar w:fldCharType="separate"/>
        </w:r>
        <w:r w:rsidR="00992B6D">
          <w:rPr>
            <w:noProof/>
            <w:webHidden/>
          </w:rPr>
          <w:t>15</w:t>
        </w:r>
        <w:r w:rsidR="00992B6D">
          <w:rPr>
            <w:noProof/>
            <w:webHidden/>
          </w:rPr>
          <w:fldChar w:fldCharType="end"/>
        </w:r>
      </w:hyperlink>
    </w:p>
    <w:p w14:paraId="62B5A30A" w14:textId="21D3D96E" w:rsidR="00992B6D" w:rsidRDefault="00475864">
      <w:pPr>
        <w:pStyle w:val="TOC4"/>
        <w:tabs>
          <w:tab w:val="right" w:leader="dot" w:pos="5030"/>
        </w:tabs>
        <w:rPr>
          <w:rFonts w:eastAsiaTheme="minorEastAsia"/>
          <w:smallCaps w:val="0"/>
          <w:noProof/>
          <w:sz w:val="22"/>
          <w:lang w:val="en-US" w:eastAsia="en-US" w:bidi="ar-SA"/>
        </w:rPr>
      </w:pPr>
      <w:hyperlink w:anchor="_Toc25746653" w:history="1">
        <w:r w:rsidR="00992B6D" w:rsidRPr="005146B0">
          <w:rPr>
            <w:rStyle w:val="Hyperlink"/>
            <w:noProof/>
            <w:lang w:eastAsia="en-US"/>
          </w:rPr>
          <w:t>Skype Entreprise Online</w:t>
        </w:r>
        <w:r w:rsidR="00992B6D">
          <w:rPr>
            <w:noProof/>
            <w:webHidden/>
          </w:rPr>
          <w:tab/>
        </w:r>
        <w:r w:rsidR="00992B6D">
          <w:rPr>
            <w:noProof/>
            <w:webHidden/>
          </w:rPr>
          <w:fldChar w:fldCharType="begin"/>
        </w:r>
        <w:r w:rsidR="00992B6D">
          <w:rPr>
            <w:noProof/>
            <w:webHidden/>
          </w:rPr>
          <w:instrText xml:space="preserve"> PAGEREF _Toc25746653 \h </w:instrText>
        </w:r>
        <w:r w:rsidR="00992B6D">
          <w:rPr>
            <w:noProof/>
            <w:webHidden/>
          </w:rPr>
        </w:r>
        <w:r w:rsidR="00992B6D">
          <w:rPr>
            <w:noProof/>
            <w:webHidden/>
          </w:rPr>
          <w:fldChar w:fldCharType="separate"/>
        </w:r>
        <w:r w:rsidR="00992B6D">
          <w:rPr>
            <w:noProof/>
            <w:webHidden/>
          </w:rPr>
          <w:t>16</w:t>
        </w:r>
        <w:r w:rsidR="00992B6D">
          <w:rPr>
            <w:noProof/>
            <w:webHidden/>
          </w:rPr>
          <w:fldChar w:fldCharType="end"/>
        </w:r>
      </w:hyperlink>
    </w:p>
    <w:p w14:paraId="6D3CA11A" w14:textId="3BF31351" w:rsidR="00992B6D" w:rsidRDefault="00475864">
      <w:pPr>
        <w:pStyle w:val="TOC4"/>
        <w:tabs>
          <w:tab w:val="right" w:leader="dot" w:pos="5030"/>
        </w:tabs>
        <w:rPr>
          <w:rFonts w:eastAsiaTheme="minorEastAsia"/>
          <w:smallCaps w:val="0"/>
          <w:noProof/>
          <w:sz w:val="22"/>
          <w:lang w:val="en-US" w:eastAsia="en-US" w:bidi="ar-SA"/>
        </w:rPr>
      </w:pPr>
      <w:hyperlink w:anchor="_Toc25746654" w:history="1">
        <w:r w:rsidR="00992B6D" w:rsidRPr="005146B0">
          <w:rPr>
            <w:rStyle w:val="Hyperlink"/>
            <w:noProof/>
          </w:rPr>
          <w:t>Microsoft Teams – Forfaits d'Appels et Audioconférence</w:t>
        </w:r>
        <w:r w:rsidR="00992B6D">
          <w:rPr>
            <w:noProof/>
            <w:webHidden/>
          </w:rPr>
          <w:tab/>
        </w:r>
        <w:r w:rsidR="00992B6D">
          <w:rPr>
            <w:noProof/>
            <w:webHidden/>
          </w:rPr>
          <w:fldChar w:fldCharType="begin"/>
        </w:r>
        <w:r w:rsidR="00992B6D">
          <w:rPr>
            <w:noProof/>
            <w:webHidden/>
          </w:rPr>
          <w:instrText xml:space="preserve"> PAGEREF _Toc25746654 \h </w:instrText>
        </w:r>
        <w:r w:rsidR="00992B6D">
          <w:rPr>
            <w:noProof/>
            <w:webHidden/>
          </w:rPr>
        </w:r>
        <w:r w:rsidR="00992B6D">
          <w:rPr>
            <w:noProof/>
            <w:webHidden/>
          </w:rPr>
          <w:fldChar w:fldCharType="separate"/>
        </w:r>
        <w:r w:rsidR="00992B6D">
          <w:rPr>
            <w:noProof/>
            <w:webHidden/>
          </w:rPr>
          <w:t>16</w:t>
        </w:r>
        <w:r w:rsidR="00992B6D">
          <w:rPr>
            <w:noProof/>
            <w:webHidden/>
          </w:rPr>
          <w:fldChar w:fldCharType="end"/>
        </w:r>
      </w:hyperlink>
    </w:p>
    <w:p w14:paraId="49FD66EB" w14:textId="5B6221D8" w:rsidR="00992B6D" w:rsidRDefault="00475864">
      <w:pPr>
        <w:pStyle w:val="TOC4"/>
        <w:tabs>
          <w:tab w:val="right" w:leader="dot" w:pos="5030"/>
        </w:tabs>
        <w:rPr>
          <w:rFonts w:eastAsiaTheme="minorEastAsia"/>
          <w:smallCaps w:val="0"/>
          <w:noProof/>
          <w:sz w:val="22"/>
          <w:lang w:val="en-US" w:eastAsia="en-US" w:bidi="ar-SA"/>
        </w:rPr>
      </w:pPr>
      <w:hyperlink w:anchor="_Toc25746655" w:history="1">
        <w:r w:rsidR="00992B6D" w:rsidRPr="005146B0">
          <w:rPr>
            <w:rStyle w:val="Hyperlink"/>
            <w:noProof/>
          </w:rPr>
          <w:t>Microsoft Teams – Qualité vocale</w:t>
        </w:r>
        <w:r w:rsidR="00992B6D">
          <w:rPr>
            <w:noProof/>
            <w:webHidden/>
          </w:rPr>
          <w:tab/>
        </w:r>
        <w:r w:rsidR="00992B6D">
          <w:rPr>
            <w:noProof/>
            <w:webHidden/>
          </w:rPr>
          <w:fldChar w:fldCharType="begin"/>
        </w:r>
        <w:r w:rsidR="00992B6D">
          <w:rPr>
            <w:noProof/>
            <w:webHidden/>
          </w:rPr>
          <w:instrText xml:space="preserve"> PAGEREF _Toc25746655 \h </w:instrText>
        </w:r>
        <w:r w:rsidR="00992B6D">
          <w:rPr>
            <w:noProof/>
            <w:webHidden/>
          </w:rPr>
        </w:r>
        <w:r w:rsidR="00992B6D">
          <w:rPr>
            <w:noProof/>
            <w:webHidden/>
          </w:rPr>
          <w:fldChar w:fldCharType="separate"/>
        </w:r>
        <w:r w:rsidR="00992B6D">
          <w:rPr>
            <w:noProof/>
            <w:webHidden/>
          </w:rPr>
          <w:t>16</w:t>
        </w:r>
        <w:r w:rsidR="00992B6D">
          <w:rPr>
            <w:noProof/>
            <w:webHidden/>
          </w:rPr>
          <w:fldChar w:fldCharType="end"/>
        </w:r>
      </w:hyperlink>
    </w:p>
    <w:p w14:paraId="1962249C" w14:textId="7614E947" w:rsidR="00992B6D" w:rsidRDefault="00475864">
      <w:pPr>
        <w:pStyle w:val="TOC4"/>
        <w:tabs>
          <w:tab w:val="right" w:leader="dot" w:pos="5030"/>
        </w:tabs>
        <w:rPr>
          <w:rFonts w:eastAsiaTheme="minorEastAsia"/>
          <w:smallCaps w:val="0"/>
          <w:noProof/>
          <w:sz w:val="22"/>
          <w:lang w:val="en-US" w:eastAsia="en-US" w:bidi="ar-SA"/>
        </w:rPr>
      </w:pPr>
      <w:hyperlink w:anchor="_Toc25746656" w:history="1">
        <w:r w:rsidR="00992B6D" w:rsidRPr="005146B0">
          <w:rPr>
            <w:rStyle w:val="Hyperlink"/>
            <w:noProof/>
          </w:rPr>
          <w:t>Workplace Analytics</w:t>
        </w:r>
        <w:r w:rsidR="00992B6D">
          <w:rPr>
            <w:noProof/>
            <w:webHidden/>
          </w:rPr>
          <w:tab/>
        </w:r>
        <w:r w:rsidR="00992B6D">
          <w:rPr>
            <w:noProof/>
            <w:webHidden/>
          </w:rPr>
          <w:fldChar w:fldCharType="begin"/>
        </w:r>
        <w:r w:rsidR="00992B6D">
          <w:rPr>
            <w:noProof/>
            <w:webHidden/>
          </w:rPr>
          <w:instrText xml:space="preserve"> PAGEREF _Toc25746656 \h </w:instrText>
        </w:r>
        <w:r w:rsidR="00992B6D">
          <w:rPr>
            <w:noProof/>
            <w:webHidden/>
          </w:rPr>
        </w:r>
        <w:r w:rsidR="00992B6D">
          <w:rPr>
            <w:noProof/>
            <w:webHidden/>
          </w:rPr>
          <w:fldChar w:fldCharType="separate"/>
        </w:r>
        <w:r w:rsidR="00992B6D">
          <w:rPr>
            <w:noProof/>
            <w:webHidden/>
          </w:rPr>
          <w:t>17</w:t>
        </w:r>
        <w:r w:rsidR="00992B6D">
          <w:rPr>
            <w:noProof/>
            <w:webHidden/>
          </w:rPr>
          <w:fldChar w:fldCharType="end"/>
        </w:r>
      </w:hyperlink>
    </w:p>
    <w:p w14:paraId="652322FA" w14:textId="53A107EF" w:rsidR="00992B6D" w:rsidRDefault="00475864">
      <w:pPr>
        <w:pStyle w:val="TOC4"/>
        <w:tabs>
          <w:tab w:val="right" w:leader="dot" w:pos="5030"/>
        </w:tabs>
        <w:rPr>
          <w:rFonts w:eastAsiaTheme="minorEastAsia"/>
          <w:smallCaps w:val="0"/>
          <w:noProof/>
          <w:sz w:val="22"/>
          <w:lang w:val="en-US" w:eastAsia="en-US" w:bidi="ar-SA"/>
        </w:rPr>
      </w:pPr>
      <w:hyperlink w:anchor="_Toc25746657" w:history="1">
        <w:r w:rsidR="00992B6D" w:rsidRPr="005146B0">
          <w:rPr>
            <w:rStyle w:val="Hyperlink"/>
            <w:noProof/>
            <w:lang w:eastAsia="en-US"/>
          </w:rPr>
          <w:t>Yammer Enterprise</w:t>
        </w:r>
        <w:r w:rsidR="00992B6D">
          <w:rPr>
            <w:noProof/>
            <w:webHidden/>
          </w:rPr>
          <w:tab/>
        </w:r>
        <w:r w:rsidR="00992B6D">
          <w:rPr>
            <w:noProof/>
            <w:webHidden/>
          </w:rPr>
          <w:fldChar w:fldCharType="begin"/>
        </w:r>
        <w:r w:rsidR="00992B6D">
          <w:rPr>
            <w:noProof/>
            <w:webHidden/>
          </w:rPr>
          <w:instrText xml:space="preserve"> PAGEREF _Toc25746657 \h </w:instrText>
        </w:r>
        <w:r w:rsidR="00992B6D">
          <w:rPr>
            <w:noProof/>
            <w:webHidden/>
          </w:rPr>
        </w:r>
        <w:r w:rsidR="00992B6D">
          <w:rPr>
            <w:noProof/>
            <w:webHidden/>
          </w:rPr>
          <w:fldChar w:fldCharType="separate"/>
        </w:r>
        <w:r w:rsidR="00992B6D">
          <w:rPr>
            <w:noProof/>
            <w:webHidden/>
          </w:rPr>
          <w:t>17</w:t>
        </w:r>
        <w:r w:rsidR="00992B6D">
          <w:rPr>
            <w:noProof/>
            <w:webHidden/>
          </w:rPr>
          <w:fldChar w:fldCharType="end"/>
        </w:r>
      </w:hyperlink>
    </w:p>
    <w:p w14:paraId="1001B467" w14:textId="043273CB" w:rsidR="00992B6D" w:rsidRDefault="00475864">
      <w:pPr>
        <w:pStyle w:val="TOC2"/>
        <w:tabs>
          <w:tab w:val="right" w:leader="dot" w:pos="5030"/>
        </w:tabs>
        <w:rPr>
          <w:rFonts w:eastAsiaTheme="minorEastAsia"/>
          <w:b w:val="0"/>
          <w:smallCaps w:val="0"/>
          <w:noProof/>
          <w:sz w:val="22"/>
          <w:lang w:val="en-US" w:eastAsia="en-US" w:bidi="ar-SA"/>
        </w:rPr>
      </w:pPr>
      <w:hyperlink w:anchor="_Toc25746658" w:history="1">
        <w:r w:rsidR="00992B6D" w:rsidRPr="005146B0">
          <w:rPr>
            <w:rStyle w:val="Hyperlink"/>
            <w:noProof/>
            <w:lang w:eastAsia="en-US"/>
          </w:rPr>
          <w:t>Services Microsoft Azure</w:t>
        </w:r>
        <w:r w:rsidR="00992B6D">
          <w:rPr>
            <w:noProof/>
            <w:webHidden/>
          </w:rPr>
          <w:tab/>
        </w:r>
        <w:r w:rsidR="00992B6D">
          <w:rPr>
            <w:noProof/>
            <w:webHidden/>
          </w:rPr>
          <w:fldChar w:fldCharType="begin"/>
        </w:r>
        <w:r w:rsidR="00992B6D">
          <w:rPr>
            <w:noProof/>
            <w:webHidden/>
          </w:rPr>
          <w:instrText xml:space="preserve"> PAGEREF _Toc25746658 \h </w:instrText>
        </w:r>
        <w:r w:rsidR="00992B6D">
          <w:rPr>
            <w:noProof/>
            <w:webHidden/>
          </w:rPr>
        </w:r>
        <w:r w:rsidR="00992B6D">
          <w:rPr>
            <w:noProof/>
            <w:webHidden/>
          </w:rPr>
          <w:fldChar w:fldCharType="separate"/>
        </w:r>
        <w:r w:rsidR="00992B6D">
          <w:rPr>
            <w:noProof/>
            <w:webHidden/>
          </w:rPr>
          <w:t>18</w:t>
        </w:r>
        <w:r w:rsidR="00992B6D">
          <w:rPr>
            <w:noProof/>
            <w:webHidden/>
          </w:rPr>
          <w:fldChar w:fldCharType="end"/>
        </w:r>
      </w:hyperlink>
    </w:p>
    <w:p w14:paraId="2C729641" w14:textId="4111C54E" w:rsidR="00992B6D" w:rsidRDefault="00475864">
      <w:pPr>
        <w:pStyle w:val="TOC4"/>
        <w:tabs>
          <w:tab w:val="right" w:leader="dot" w:pos="5030"/>
        </w:tabs>
        <w:rPr>
          <w:rFonts w:eastAsiaTheme="minorEastAsia"/>
          <w:smallCaps w:val="0"/>
          <w:noProof/>
          <w:sz w:val="22"/>
          <w:lang w:val="en-US" w:eastAsia="en-US" w:bidi="ar-SA"/>
        </w:rPr>
      </w:pPr>
      <w:hyperlink w:anchor="_Toc25746659" w:history="1">
        <w:r w:rsidR="00992B6D" w:rsidRPr="005146B0">
          <w:rPr>
            <w:rStyle w:val="Hyperlink"/>
            <w:noProof/>
          </w:rPr>
          <w:t>Services de domaine AD</w:t>
        </w:r>
        <w:r w:rsidR="00992B6D">
          <w:rPr>
            <w:noProof/>
            <w:webHidden/>
          </w:rPr>
          <w:tab/>
        </w:r>
        <w:r w:rsidR="00992B6D">
          <w:rPr>
            <w:noProof/>
            <w:webHidden/>
          </w:rPr>
          <w:fldChar w:fldCharType="begin"/>
        </w:r>
        <w:r w:rsidR="00992B6D">
          <w:rPr>
            <w:noProof/>
            <w:webHidden/>
          </w:rPr>
          <w:instrText xml:space="preserve"> PAGEREF _Toc25746659 \h </w:instrText>
        </w:r>
        <w:r w:rsidR="00992B6D">
          <w:rPr>
            <w:noProof/>
            <w:webHidden/>
          </w:rPr>
        </w:r>
        <w:r w:rsidR="00992B6D">
          <w:rPr>
            <w:noProof/>
            <w:webHidden/>
          </w:rPr>
          <w:fldChar w:fldCharType="separate"/>
        </w:r>
        <w:r w:rsidR="00992B6D">
          <w:rPr>
            <w:noProof/>
            <w:webHidden/>
          </w:rPr>
          <w:t>18</w:t>
        </w:r>
        <w:r w:rsidR="00992B6D">
          <w:rPr>
            <w:noProof/>
            <w:webHidden/>
          </w:rPr>
          <w:fldChar w:fldCharType="end"/>
        </w:r>
      </w:hyperlink>
    </w:p>
    <w:p w14:paraId="42FB165A" w14:textId="162B5067" w:rsidR="00992B6D" w:rsidRDefault="00475864">
      <w:pPr>
        <w:pStyle w:val="TOC4"/>
        <w:tabs>
          <w:tab w:val="right" w:leader="dot" w:pos="5030"/>
        </w:tabs>
        <w:rPr>
          <w:rFonts w:eastAsiaTheme="minorEastAsia"/>
          <w:smallCaps w:val="0"/>
          <w:noProof/>
          <w:sz w:val="22"/>
          <w:lang w:val="en-US" w:eastAsia="en-US" w:bidi="ar-SA"/>
        </w:rPr>
      </w:pPr>
      <w:hyperlink w:anchor="_Toc25746660" w:history="1">
        <w:r w:rsidR="00992B6D" w:rsidRPr="005146B0">
          <w:rPr>
            <w:rStyle w:val="Hyperlink"/>
            <w:noProof/>
          </w:rPr>
          <w:t>Analysis Services</w:t>
        </w:r>
        <w:r w:rsidR="00992B6D">
          <w:rPr>
            <w:noProof/>
            <w:webHidden/>
          </w:rPr>
          <w:tab/>
        </w:r>
        <w:r w:rsidR="00992B6D">
          <w:rPr>
            <w:noProof/>
            <w:webHidden/>
          </w:rPr>
          <w:fldChar w:fldCharType="begin"/>
        </w:r>
        <w:r w:rsidR="00992B6D">
          <w:rPr>
            <w:noProof/>
            <w:webHidden/>
          </w:rPr>
          <w:instrText xml:space="preserve"> PAGEREF _Toc25746660 \h </w:instrText>
        </w:r>
        <w:r w:rsidR="00992B6D">
          <w:rPr>
            <w:noProof/>
            <w:webHidden/>
          </w:rPr>
        </w:r>
        <w:r w:rsidR="00992B6D">
          <w:rPr>
            <w:noProof/>
            <w:webHidden/>
          </w:rPr>
          <w:fldChar w:fldCharType="separate"/>
        </w:r>
        <w:r w:rsidR="00992B6D">
          <w:rPr>
            <w:noProof/>
            <w:webHidden/>
          </w:rPr>
          <w:t>18</w:t>
        </w:r>
        <w:r w:rsidR="00992B6D">
          <w:rPr>
            <w:noProof/>
            <w:webHidden/>
          </w:rPr>
          <w:fldChar w:fldCharType="end"/>
        </w:r>
      </w:hyperlink>
    </w:p>
    <w:p w14:paraId="35955343" w14:textId="604AE27C" w:rsidR="00992B6D" w:rsidRDefault="00475864">
      <w:pPr>
        <w:pStyle w:val="TOC4"/>
        <w:tabs>
          <w:tab w:val="right" w:leader="dot" w:pos="5030"/>
        </w:tabs>
        <w:rPr>
          <w:rFonts w:eastAsiaTheme="minorEastAsia"/>
          <w:smallCaps w:val="0"/>
          <w:noProof/>
          <w:sz w:val="22"/>
          <w:lang w:val="en-US" w:eastAsia="en-US" w:bidi="ar-SA"/>
        </w:rPr>
      </w:pPr>
      <w:hyperlink w:anchor="_Toc25746661" w:history="1">
        <w:r w:rsidR="00992B6D" w:rsidRPr="005146B0">
          <w:rPr>
            <w:rStyle w:val="Hyperlink"/>
            <w:noProof/>
            <w:lang w:eastAsia="en-US"/>
          </w:rPr>
          <w:t>Services de Gestion des API</w:t>
        </w:r>
        <w:r w:rsidR="00992B6D">
          <w:rPr>
            <w:noProof/>
            <w:webHidden/>
          </w:rPr>
          <w:tab/>
        </w:r>
        <w:r w:rsidR="00992B6D">
          <w:rPr>
            <w:noProof/>
            <w:webHidden/>
          </w:rPr>
          <w:fldChar w:fldCharType="begin"/>
        </w:r>
        <w:r w:rsidR="00992B6D">
          <w:rPr>
            <w:noProof/>
            <w:webHidden/>
          </w:rPr>
          <w:instrText xml:space="preserve"> PAGEREF _Toc25746661 \h </w:instrText>
        </w:r>
        <w:r w:rsidR="00992B6D">
          <w:rPr>
            <w:noProof/>
            <w:webHidden/>
          </w:rPr>
        </w:r>
        <w:r w:rsidR="00992B6D">
          <w:rPr>
            <w:noProof/>
            <w:webHidden/>
          </w:rPr>
          <w:fldChar w:fldCharType="separate"/>
        </w:r>
        <w:r w:rsidR="00992B6D">
          <w:rPr>
            <w:noProof/>
            <w:webHidden/>
          </w:rPr>
          <w:t>19</w:t>
        </w:r>
        <w:r w:rsidR="00992B6D">
          <w:rPr>
            <w:noProof/>
            <w:webHidden/>
          </w:rPr>
          <w:fldChar w:fldCharType="end"/>
        </w:r>
      </w:hyperlink>
    </w:p>
    <w:p w14:paraId="3CA7FFA4" w14:textId="4AF80FC5" w:rsidR="00992B6D" w:rsidRDefault="00475864">
      <w:pPr>
        <w:pStyle w:val="TOC4"/>
        <w:tabs>
          <w:tab w:val="right" w:leader="dot" w:pos="5030"/>
        </w:tabs>
        <w:rPr>
          <w:rFonts w:eastAsiaTheme="minorEastAsia"/>
          <w:smallCaps w:val="0"/>
          <w:noProof/>
          <w:sz w:val="22"/>
          <w:lang w:val="en-US" w:eastAsia="en-US" w:bidi="ar-SA"/>
        </w:rPr>
      </w:pPr>
      <w:hyperlink w:anchor="_Toc25746662" w:history="1">
        <w:r w:rsidR="00992B6D" w:rsidRPr="005146B0">
          <w:rPr>
            <w:rStyle w:val="Hyperlink"/>
            <w:noProof/>
          </w:rPr>
          <w:t>App Service</w:t>
        </w:r>
        <w:r w:rsidR="00992B6D">
          <w:rPr>
            <w:noProof/>
            <w:webHidden/>
          </w:rPr>
          <w:tab/>
        </w:r>
        <w:r w:rsidR="00992B6D">
          <w:rPr>
            <w:noProof/>
            <w:webHidden/>
          </w:rPr>
          <w:fldChar w:fldCharType="begin"/>
        </w:r>
        <w:r w:rsidR="00992B6D">
          <w:rPr>
            <w:noProof/>
            <w:webHidden/>
          </w:rPr>
          <w:instrText xml:space="preserve"> PAGEREF _Toc25746662 \h </w:instrText>
        </w:r>
        <w:r w:rsidR="00992B6D">
          <w:rPr>
            <w:noProof/>
            <w:webHidden/>
          </w:rPr>
        </w:r>
        <w:r w:rsidR="00992B6D">
          <w:rPr>
            <w:noProof/>
            <w:webHidden/>
          </w:rPr>
          <w:fldChar w:fldCharType="separate"/>
        </w:r>
        <w:r w:rsidR="00992B6D">
          <w:rPr>
            <w:noProof/>
            <w:webHidden/>
          </w:rPr>
          <w:t>19</w:t>
        </w:r>
        <w:r w:rsidR="00992B6D">
          <w:rPr>
            <w:noProof/>
            <w:webHidden/>
          </w:rPr>
          <w:fldChar w:fldCharType="end"/>
        </w:r>
      </w:hyperlink>
    </w:p>
    <w:p w14:paraId="1407094D" w14:textId="4396995F" w:rsidR="00992B6D" w:rsidRDefault="00475864">
      <w:pPr>
        <w:pStyle w:val="TOC4"/>
        <w:tabs>
          <w:tab w:val="right" w:leader="dot" w:pos="5030"/>
        </w:tabs>
        <w:rPr>
          <w:rFonts w:eastAsiaTheme="minorEastAsia"/>
          <w:smallCaps w:val="0"/>
          <w:noProof/>
          <w:sz w:val="22"/>
          <w:lang w:val="en-US" w:eastAsia="en-US" w:bidi="ar-SA"/>
        </w:rPr>
      </w:pPr>
      <w:hyperlink w:anchor="_Toc25746663" w:history="1">
        <w:r w:rsidR="00992B6D" w:rsidRPr="005146B0">
          <w:rPr>
            <w:rStyle w:val="Hyperlink"/>
            <w:noProof/>
          </w:rPr>
          <w:t>Application Gateway</w:t>
        </w:r>
        <w:r w:rsidR="00992B6D">
          <w:rPr>
            <w:noProof/>
            <w:webHidden/>
          </w:rPr>
          <w:tab/>
        </w:r>
        <w:r w:rsidR="00992B6D">
          <w:rPr>
            <w:noProof/>
            <w:webHidden/>
          </w:rPr>
          <w:fldChar w:fldCharType="begin"/>
        </w:r>
        <w:r w:rsidR="00992B6D">
          <w:rPr>
            <w:noProof/>
            <w:webHidden/>
          </w:rPr>
          <w:instrText xml:space="preserve"> PAGEREF _Toc25746663 \h </w:instrText>
        </w:r>
        <w:r w:rsidR="00992B6D">
          <w:rPr>
            <w:noProof/>
            <w:webHidden/>
          </w:rPr>
        </w:r>
        <w:r w:rsidR="00992B6D">
          <w:rPr>
            <w:noProof/>
            <w:webHidden/>
          </w:rPr>
          <w:fldChar w:fldCharType="separate"/>
        </w:r>
        <w:r w:rsidR="00992B6D">
          <w:rPr>
            <w:noProof/>
            <w:webHidden/>
          </w:rPr>
          <w:t>20</w:t>
        </w:r>
        <w:r w:rsidR="00992B6D">
          <w:rPr>
            <w:noProof/>
            <w:webHidden/>
          </w:rPr>
          <w:fldChar w:fldCharType="end"/>
        </w:r>
      </w:hyperlink>
    </w:p>
    <w:p w14:paraId="6CFC96D4" w14:textId="48F78916" w:rsidR="00992B6D" w:rsidRDefault="00475864">
      <w:pPr>
        <w:pStyle w:val="TOC4"/>
        <w:tabs>
          <w:tab w:val="right" w:leader="dot" w:pos="5030"/>
        </w:tabs>
        <w:rPr>
          <w:rFonts w:eastAsiaTheme="minorEastAsia"/>
          <w:smallCaps w:val="0"/>
          <w:noProof/>
          <w:sz w:val="22"/>
          <w:lang w:val="en-US" w:eastAsia="en-US" w:bidi="ar-SA"/>
        </w:rPr>
      </w:pPr>
      <w:hyperlink w:anchor="_Toc25746664" w:history="1">
        <w:r w:rsidR="00992B6D" w:rsidRPr="005146B0">
          <w:rPr>
            <w:rStyle w:val="Hyperlink"/>
            <w:noProof/>
          </w:rPr>
          <w:t>Application Insights (SLA Disponibilité des Requêtes)</w:t>
        </w:r>
        <w:r w:rsidR="00992B6D">
          <w:rPr>
            <w:noProof/>
            <w:webHidden/>
          </w:rPr>
          <w:tab/>
        </w:r>
        <w:r w:rsidR="00992B6D">
          <w:rPr>
            <w:noProof/>
            <w:webHidden/>
          </w:rPr>
          <w:fldChar w:fldCharType="begin"/>
        </w:r>
        <w:r w:rsidR="00992B6D">
          <w:rPr>
            <w:noProof/>
            <w:webHidden/>
          </w:rPr>
          <w:instrText xml:space="preserve"> PAGEREF _Toc25746664 \h </w:instrText>
        </w:r>
        <w:r w:rsidR="00992B6D">
          <w:rPr>
            <w:noProof/>
            <w:webHidden/>
          </w:rPr>
        </w:r>
        <w:r w:rsidR="00992B6D">
          <w:rPr>
            <w:noProof/>
            <w:webHidden/>
          </w:rPr>
          <w:fldChar w:fldCharType="separate"/>
        </w:r>
        <w:r w:rsidR="00992B6D">
          <w:rPr>
            <w:noProof/>
            <w:webHidden/>
          </w:rPr>
          <w:t>20</w:t>
        </w:r>
        <w:r w:rsidR="00992B6D">
          <w:rPr>
            <w:noProof/>
            <w:webHidden/>
          </w:rPr>
          <w:fldChar w:fldCharType="end"/>
        </w:r>
      </w:hyperlink>
    </w:p>
    <w:p w14:paraId="31332446" w14:textId="7C7A075B" w:rsidR="00992B6D" w:rsidRDefault="00475864">
      <w:pPr>
        <w:pStyle w:val="TOC4"/>
        <w:tabs>
          <w:tab w:val="right" w:leader="dot" w:pos="5030"/>
        </w:tabs>
        <w:rPr>
          <w:rFonts w:eastAsiaTheme="minorEastAsia"/>
          <w:smallCaps w:val="0"/>
          <w:noProof/>
          <w:sz w:val="22"/>
          <w:lang w:val="en-US" w:eastAsia="en-US" w:bidi="ar-SA"/>
        </w:rPr>
      </w:pPr>
      <w:hyperlink w:anchor="_Toc25746665" w:history="1">
        <w:r w:rsidR="00992B6D" w:rsidRPr="005146B0">
          <w:rPr>
            <w:rStyle w:val="Hyperlink"/>
            <w:noProof/>
          </w:rPr>
          <w:t>Service Automation – Configuration d’état souhaité (DSC)</w:t>
        </w:r>
        <w:r w:rsidR="00992B6D">
          <w:rPr>
            <w:noProof/>
            <w:webHidden/>
          </w:rPr>
          <w:tab/>
        </w:r>
        <w:r w:rsidR="00992B6D">
          <w:rPr>
            <w:noProof/>
            <w:webHidden/>
          </w:rPr>
          <w:fldChar w:fldCharType="begin"/>
        </w:r>
        <w:r w:rsidR="00992B6D">
          <w:rPr>
            <w:noProof/>
            <w:webHidden/>
          </w:rPr>
          <w:instrText xml:space="preserve"> PAGEREF _Toc25746665 \h </w:instrText>
        </w:r>
        <w:r w:rsidR="00992B6D">
          <w:rPr>
            <w:noProof/>
            <w:webHidden/>
          </w:rPr>
        </w:r>
        <w:r w:rsidR="00992B6D">
          <w:rPr>
            <w:noProof/>
            <w:webHidden/>
          </w:rPr>
          <w:fldChar w:fldCharType="separate"/>
        </w:r>
        <w:r w:rsidR="00992B6D">
          <w:rPr>
            <w:noProof/>
            <w:webHidden/>
          </w:rPr>
          <w:t>21</w:t>
        </w:r>
        <w:r w:rsidR="00992B6D">
          <w:rPr>
            <w:noProof/>
            <w:webHidden/>
          </w:rPr>
          <w:fldChar w:fldCharType="end"/>
        </w:r>
      </w:hyperlink>
    </w:p>
    <w:p w14:paraId="12036295" w14:textId="1E4D48A1" w:rsidR="00992B6D" w:rsidRDefault="00475864">
      <w:pPr>
        <w:pStyle w:val="TOC4"/>
        <w:tabs>
          <w:tab w:val="right" w:leader="dot" w:pos="5030"/>
        </w:tabs>
        <w:rPr>
          <w:rFonts w:eastAsiaTheme="minorEastAsia"/>
          <w:smallCaps w:val="0"/>
          <w:noProof/>
          <w:sz w:val="22"/>
          <w:lang w:val="en-US" w:eastAsia="en-US" w:bidi="ar-SA"/>
        </w:rPr>
      </w:pPr>
      <w:hyperlink w:anchor="_Toc25746666" w:history="1">
        <w:r w:rsidR="00992B6D" w:rsidRPr="005146B0">
          <w:rPr>
            <w:rStyle w:val="Hyperlink"/>
            <w:noProof/>
          </w:rPr>
          <w:t>Service Automation – Automatisation des processus</w:t>
        </w:r>
        <w:r w:rsidR="00992B6D">
          <w:rPr>
            <w:noProof/>
            <w:webHidden/>
          </w:rPr>
          <w:tab/>
        </w:r>
        <w:r w:rsidR="00992B6D">
          <w:rPr>
            <w:noProof/>
            <w:webHidden/>
          </w:rPr>
          <w:fldChar w:fldCharType="begin"/>
        </w:r>
        <w:r w:rsidR="00992B6D">
          <w:rPr>
            <w:noProof/>
            <w:webHidden/>
          </w:rPr>
          <w:instrText xml:space="preserve"> PAGEREF _Toc25746666 \h </w:instrText>
        </w:r>
        <w:r w:rsidR="00992B6D">
          <w:rPr>
            <w:noProof/>
            <w:webHidden/>
          </w:rPr>
        </w:r>
        <w:r w:rsidR="00992B6D">
          <w:rPr>
            <w:noProof/>
            <w:webHidden/>
          </w:rPr>
          <w:fldChar w:fldCharType="separate"/>
        </w:r>
        <w:r w:rsidR="00992B6D">
          <w:rPr>
            <w:noProof/>
            <w:webHidden/>
          </w:rPr>
          <w:t>21</w:t>
        </w:r>
        <w:r w:rsidR="00992B6D">
          <w:rPr>
            <w:noProof/>
            <w:webHidden/>
          </w:rPr>
          <w:fldChar w:fldCharType="end"/>
        </w:r>
      </w:hyperlink>
    </w:p>
    <w:p w14:paraId="26E996BE" w14:textId="798D5561" w:rsidR="00992B6D" w:rsidRDefault="00475864">
      <w:pPr>
        <w:pStyle w:val="TOC4"/>
        <w:tabs>
          <w:tab w:val="right" w:leader="dot" w:pos="5030"/>
        </w:tabs>
        <w:rPr>
          <w:rFonts w:eastAsiaTheme="minorEastAsia"/>
          <w:smallCaps w:val="0"/>
          <w:noProof/>
          <w:sz w:val="22"/>
          <w:lang w:val="en-US" w:eastAsia="en-US" w:bidi="ar-SA"/>
        </w:rPr>
      </w:pPr>
      <w:hyperlink w:anchor="_Toc25746667" w:history="1">
        <w:r w:rsidR="00992B6D" w:rsidRPr="005146B0">
          <w:rPr>
            <w:rStyle w:val="Hyperlink"/>
            <w:noProof/>
          </w:rPr>
          <w:t>Azure - Protection avancée contre les menaces</w:t>
        </w:r>
        <w:r w:rsidR="00992B6D">
          <w:rPr>
            <w:noProof/>
            <w:webHidden/>
          </w:rPr>
          <w:tab/>
        </w:r>
        <w:r w:rsidR="00992B6D">
          <w:rPr>
            <w:noProof/>
            <w:webHidden/>
          </w:rPr>
          <w:fldChar w:fldCharType="begin"/>
        </w:r>
        <w:r w:rsidR="00992B6D">
          <w:rPr>
            <w:noProof/>
            <w:webHidden/>
          </w:rPr>
          <w:instrText xml:space="preserve"> PAGEREF _Toc25746667 \h </w:instrText>
        </w:r>
        <w:r w:rsidR="00992B6D">
          <w:rPr>
            <w:noProof/>
            <w:webHidden/>
          </w:rPr>
        </w:r>
        <w:r w:rsidR="00992B6D">
          <w:rPr>
            <w:noProof/>
            <w:webHidden/>
          </w:rPr>
          <w:fldChar w:fldCharType="separate"/>
        </w:r>
        <w:r w:rsidR="00992B6D">
          <w:rPr>
            <w:noProof/>
            <w:webHidden/>
          </w:rPr>
          <w:t>21</w:t>
        </w:r>
        <w:r w:rsidR="00992B6D">
          <w:rPr>
            <w:noProof/>
            <w:webHidden/>
          </w:rPr>
          <w:fldChar w:fldCharType="end"/>
        </w:r>
      </w:hyperlink>
    </w:p>
    <w:p w14:paraId="6A48BBBB" w14:textId="656727C9" w:rsidR="00992B6D" w:rsidRDefault="00475864">
      <w:pPr>
        <w:pStyle w:val="TOC4"/>
        <w:tabs>
          <w:tab w:val="right" w:leader="dot" w:pos="5030"/>
        </w:tabs>
        <w:rPr>
          <w:rFonts w:eastAsiaTheme="minorEastAsia"/>
          <w:smallCaps w:val="0"/>
          <w:noProof/>
          <w:sz w:val="22"/>
          <w:lang w:val="en-US" w:eastAsia="en-US" w:bidi="ar-SA"/>
        </w:rPr>
      </w:pPr>
      <w:hyperlink w:anchor="_Toc25746668" w:history="1">
        <w:r w:rsidR="00992B6D" w:rsidRPr="005146B0">
          <w:rPr>
            <w:rStyle w:val="Hyperlink"/>
            <w:noProof/>
          </w:rPr>
          <w:t>Azure Bot Service</w:t>
        </w:r>
        <w:r w:rsidR="00992B6D">
          <w:rPr>
            <w:noProof/>
            <w:webHidden/>
          </w:rPr>
          <w:tab/>
        </w:r>
        <w:r w:rsidR="00992B6D">
          <w:rPr>
            <w:noProof/>
            <w:webHidden/>
          </w:rPr>
          <w:fldChar w:fldCharType="begin"/>
        </w:r>
        <w:r w:rsidR="00992B6D">
          <w:rPr>
            <w:noProof/>
            <w:webHidden/>
          </w:rPr>
          <w:instrText xml:space="preserve"> PAGEREF _Toc25746668 \h </w:instrText>
        </w:r>
        <w:r w:rsidR="00992B6D">
          <w:rPr>
            <w:noProof/>
            <w:webHidden/>
          </w:rPr>
        </w:r>
        <w:r w:rsidR="00992B6D">
          <w:rPr>
            <w:noProof/>
            <w:webHidden/>
          </w:rPr>
          <w:fldChar w:fldCharType="separate"/>
        </w:r>
        <w:r w:rsidR="00992B6D">
          <w:rPr>
            <w:noProof/>
            <w:webHidden/>
          </w:rPr>
          <w:t>22</w:t>
        </w:r>
        <w:r w:rsidR="00992B6D">
          <w:rPr>
            <w:noProof/>
            <w:webHidden/>
          </w:rPr>
          <w:fldChar w:fldCharType="end"/>
        </w:r>
      </w:hyperlink>
    </w:p>
    <w:p w14:paraId="0356E46E" w14:textId="63410A56" w:rsidR="00992B6D" w:rsidRDefault="00475864">
      <w:pPr>
        <w:pStyle w:val="TOC4"/>
        <w:tabs>
          <w:tab w:val="right" w:leader="dot" w:pos="5030"/>
        </w:tabs>
        <w:rPr>
          <w:rFonts w:eastAsiaTheme="minorEastAsia"/>
          <w:smallCaps w:val="0"/>
          <w:noProof/>
          <w:sz w:val="22"/>
          <w:lang w:val="en-US" w:eastAsia="en-US" w:bidi="ar-SA"/>
        </w:rPr>
      </w:pPr>
      <w:hyperlink w:anchor="_Toc25746669" w:history="1">
        <w:r w:rsidR="00992B6D" w:rsidRPr="005146B0">
          <w:rPr>
            <w:rStyle w:val="Hyperlink"/>
            <w:noProof/>
          </w:rPr>
          <w:t>Azure Container Instances</w:t>
        </w:r>
        <w:r w:rsidR="00992B6D">
          <w:rPr>
            <w:noProof/>
            <w:webHidden/>
          </w:rPr>
          <w:tab/>
        </w:r>
        <w:r w:rsidR="00992B6D">
          <w:rPr>
            <w:noProof/>
            <w:webHidden/>
          </w:rPr>
          <w:fldChar w:fldCharType="begin"/>
        </w:r>
        <w:r w:rsidR="00992B6D">
          <w:rPr>
            <w:noProof/>
            <w:webHidden/>
          </w:rPr>
          <w:instrText xml:space="preserve"> PAGEREF _Toc25746669 \h </w:instrText>
        </w:r>
        <w:r w:rsidR="00992B6D">
          <w:rPr>
            <w:noProof/>
            <w:webHidden/>
          </w:rPr>
        </w:r>
        <w:r w:rsidR="00992B6D">
          <w:rPr>
            <w:noProof/>
            <w:webHidden/>
          </w:rPr>
          <w:fldChar w:fldCharType="separate"/>
        </w:r>
        <w:r w:rsidR="00992B6D">
          <w:rPr>
            <w:noProof/>
            <w:webHidden/>
          </w:rPr>
          <w:t>22</w:t>
        </w:r>
        <w:r w:rsidR="00992B6D">
          <w:rPr>
            <w:noProof/>
            <w:webHidden/>
          </w:rPr>
          <w:fldChar w:fldCharType="end"/>
        </w:r>
      </w:hyperlink>
    </w:p>
    <w:p w14:paraId="37860E3A" w14:textId="63427308" w:rsidR="00992B6D" w:rsidRDefault="00475864">
      <w:pPr>
        <w:pStyle w:val="TOC4"/>
        <w:tabs>
          <w:tab w:val="right" w:leader="dot" w:pos="5030"/>
        </w:tabs>
        <w:rPr>
          <w:rFonts w:eastAsiaTheme="minorEastAsia"/>
          <w:smallCaps w:val="0"/>
          <w:noProof/>
          <w:sz w:val="22"/>
          <w:lang w:val="en-US" w:eastAsia="en-US" w:bidi="ar-SA"/>
        </w:rPr>
      </w:pPr>
      <w:hyperlink w:anchor="_Toc25746670" w:history="1">
        <w:r w:rsidR="00992B6D" w:rsidRPr="005146B0">
          <w:rPr>
            <w:rStyle w:val="Hyperlink"/>
            <w:noProof/>
          </w:rPr>
          <w:t>Azure Cosmos DB</w:t>
        </w:r>
        <w:r w:rsidR="00992B6D">
          <w:rPr>
            <w:noProof/>
            <w:webHidden/>
          </w:rPr>
          <w:tab/>
        </w:r>
        <w:r w:rsidR="00992B6D">
          <w:rPr>
            <w:noProof/>
            <w:webHidden/>
          </w:rPr>
          <w:fldChar w:fldCharType="begin"/>
        </w:r>
        <w:r w:rsidR="00992B6D">
          <w:rPr>
            <w:noProof/>
            <w:webHidden/>
          </w:rPr>
          <w:instrText xml:space="preserve"> PAGEREF _Toc25746670 \h </w:instrText>
        </w:r>
        <w:r w:rsidR="00992B6D">
          <w:rPr>
            <w:noProof/>
            <w:webHidden/>
          </w:rPr>
        </w:r>
        <w:r w:rsidR="00992B6D">
          <w:rPr>
            <w:noProof/>
            <w:webHidden/>
          </w:rPr>
          <w:fldChar w:fldCharType="separate"/>
        </w:r>
        <w:r w:rsidR="00992B6D">
          <w:rPr>
            <w:noProof/>
            <w:webHidden/>
          </w:rPr>
          <w:t>23</w:t>
        </w:r>
        <w:r w:rsidR="00992B6D">
          <w:rPr>
            <w:noProof/>
            <w:webHidden/>
          </w:rPr>
          <w:fldChar w:fldCharType="end"/>
        </w:r>
      </w:hyperlink>
    </w:p>
    <w:p w14:paraId="2CDC9EBD" w14:textId="2AFA1F8E" w:rsidR="00992B6D" w:rsidRDefault="00475864">
      <w:pPr>
        <w:pStyle w:val="TOC4"/>
        <w:tabs>
          <w:tab w:val="right" w:leader="dot" w:pos="5030"/>
        </w:tabs>
        <w:rPr>
          <w:rFonts w:eastAsiaTheme="minorEastAsia"/>
          <w:smallCaps w:val="0"/>
          <w:noProof/>
          <w:sz w:val="22"/>
          <w:lang w:val="en-US" w:eastAsia="en-US" w:bidi="ar-SA"/>
        </w:rPr>
      </w:pPr>
      <w:hyperlink w:anchor="_Toc25746671" w:history="1">
        <w:r w:rsidR="00992B6D" w:rsidRPr="005146B0">
          <w:rPr>
            <w:rStyle w:val="Hyperlink"/>
            <w:noProof/>
          </w:rPr>
          <w:t>Azure Database pour MySQL</w:t>
        </w:r>
        <w:r w:rsidR="00992B6D">
          <w:rPr>
            <w:noProof/>
            <w:webHidden/>
          </w:rPr>
          <w:tab/>
        </w:r>
        <w:r w:rsidR="00992B6D">
          <w:rPr>
            <w:noProof/>
            <w:webHidden/>
          </w:rPr>
          <w:fldChar w:fldCharType="begin"/>
        </w:r>
        <w:r w:rsidR="00992B6D">
          <w:rPr>
            <w:noProof/>
            <w:webHidden/>
          </w:rPr>
          <w:instrText xml:space="preserve"> PAGEREF _Toc25746671 \h </w:instrText>
        </w:r>
        <w:r w:rsidR="00992B6D">
          <w:rPr>
            <w:noProof/>
            <w:webHidden/>
          </w:rPr>
        </w:r>
        <w:r w:rsidR="00992B6D">
          <w:rPr>
            <w:noProof/>
            <w:webHidden/>
          </w:rPr>
          <w:fldChar w:fldCharType="separate"/>
        </w:r>
        <w:r w:rsidR="00992B6D">
          <w:rPr>
            <w:noProof/>
            <w:webHidden/>
          </w:rPr>
          <w:t>26</w:t>
        </w:r>
        <w:r w:rsidR="00992B6D">
          <w:rPr>
            <w:noProof/>
            <w:webHidden/>
          </w:rPr>
          <w:fldChar w:fldCharType="end"/>
        </w:r>
      </w:hyperlink>
    </w:p>
    <w:p w14:paraId="26C28012" w14:textId="43E75A8B" w:rsidR="00992B6D" w:rsidRDefault="00475864">
      <w:pPr>
        <w:pStyle w:val="TOC4"/>
        <w:tabs>
          <w:tab w:val="right" w:leader="dot" w:pos="5030"/>
        </w:tabs>
        <w:rPr>
          <w:rFonts w:eastAsiaTheme="minorEastAsia"/>
          <w:smallCaps w:val="0"/>
          <w:noProof/>
          <w:sz w:val="22"/>
          <w:lang w:val="en-US" w:eastAsia="en-US" w:bidi="ar-SA"/>
        </w:rPr>
      </w:pPr>
      <w:hyperlink w:anchor="_Toc25746672" w:history="1">
        <w:r w:rsidR="00992B6D" w:rsidRPr="005146B0">
          <w:rPr>
            <w:rStyle w:val="Hyperlink"/>
            <w:noProof/>
          </w:rPr>
          <w:t>Azure Database pour PostgreSQL</w:t>
        </w:r>
        <w:r w:rsidR="00992B6D">
          <w:rPr>
            <w:noProof/>
            <w:webHidden/>
          </w:rPr>
          <w:tab/>
        </w:r>
        <w:r w:rsidR="00992B6D">
          <w:rPr>
            <w:noProof/>
            <w:webHidden/>
          </w:rPr>
          <w:fldChar w:fldCharType="begin"/>
        </w:r>
        <w:r w:rsidR="00992B6D">
          <w:rPr>
            <w:noProof/>
            <w:webHidden/>
          </w:rPr>
          <w:instrText xml:space="preserve"> PAGEREF _Toc25746672 \h </w:instrText>
        </w:r>
        <w:r w:rsidR="00992B6D">
          <w:rPr>
            <w:noProof/>
            <w:webHidden/>
          </w:rPr>
        </w:r>
        <w:r w:rsidR="00992B6D">
          <w:rPr>
            <w:noProof/>
            <w:webHidden/>
          </w:rPr>
          <w:fldChar w:fldCharType="separate"/>
        </w:r>
        <w:r w:rsidR="00992B6D">
          <w:rPr>
            <w:noProof/>
            <w:webHidden/>
          </w:rPr>
          <w:t>26</w:t>
        </w:r>
        <w:r w:rsidR="00992B6D">
          <w:rPr>
            <w:noProof/>
            <w:webHidden/>
          </w:rPr>
          <w:fldChar w:fldCharType="end"/>
        </w:r>
      </w:hyperlink>
    </w:p>
    <w:p w14:paraId="0EB7E9FD" w14:textId="5301CC79" w:rsidR="00992B6D" w:rsidRDefault="00475864">
      <w:pPr>
        <w:pStyle w:val="TOC4"/>
        <w:tabs>
          <w:tab w:val="right" w:leader="dot" w:pos="5030"/>
        </w:tabs>
        <w:rPr>
          <w:rFonts w:eastAsiaTheme="minorEastAsia"/>
          <w:smallCaps w:val="0"/>
          <w:noProof/>
          <w:sz w:val="22"/>
          <w:lang w:val="en-US" w:eastAsia="en-US" w:bidi="ar-SA"/>
        </w:rPr>
      </w:pPr>
      <w:hyperlink w:anchor="_Toc25746673" w:history="1">
        <w:r w:rsidR="00992B6D" w:rsidRPr="005146B0">
          <w:rPr>
            <w:rStyle w:val="Hyperlink"/>
            <w:noProof/>
          </w:rPr>
          <w:t>Azure DDoS Protection</w:t>
        </w:r>
        <w:r w:rsidR="00992B6D">
          <w:rPr>
            <w:noProof/>
            <w:webHidden/>
          </w:rPr>
          <w:tab/>
        </w:r>
        <w:r w:rsidR="00992B6D">
          <w:rPr>
            <w:noProof/>
            <w:webHidden/>
          </w:rPr>
          <w:fldChar w:fldCharType="begin"/>
        </w:r>
        <w:r w:rsidR="00992B6D">
          <w:rPr>
            <w:noProof/>
            <w:webHidden/>
          </w:rPr>
          <w:instrText xml:space="preserve"> PAGEREF _Toc25746673 \h </w:instrText>
        </w:r>
        <w:r w:rsidR="00992B6D">
          <w:rPr>
            <w:noProof/>
            <w:webHidden/>
          </w:rPr>
        </w:r>
        <w:r w:rsidR="00992B6D">
          <w:rPr>
            <w:noProof/>
            <w:webHidden/>
          </w:rPr>
          <w:fldChar w:fldCharType="separate"/>
        </w:r>
        <w:r w:rsidR="00992B6D">
          <w:rPr>
            <w:noProof/>
            <w:webHidden/>
          </w:rPr>
          <w:t>26</w:t>
        </w:r>
        <w:r w:rsidR="00992B6D">
          <w:rPr>
            <w:noProof/>
            <w:webHidden/>
          </w:rPr>
          <w:fldChar w:fldCharType="end"/>
        </w:r>
      </w:hyperlink>
    </w:p>
    <w:p w14:paraId="40985245" w14:textId="0F8808D6" w:rsidR="00992B6D" w:rsidRDefault="00475864">
      <w:pPr>
        <w:pStyle w:val="TOC4"/>
        <w:tabs>
          <w:tab w:val="right" w:leader="dot" w:pos="5030"/>
        </w:tabs>
        <w:rPr>
          <w:rFonts w:eastAsiaTheme="minorEastAsia"/>
          <w:smallCaps w:val="0"/>
          <w:noProof/>
          <w:sz w:val="22"/>
          <w:lang w:val="en-US" w:eastAsia="en-US" w:bidi="ar-SA"/>
        </w:rPr>
      </w:pPr>
      <w:hyperlink w:anchor="_Toc25746674" w:history="1">
        <w:r w:rsidR="00992B6D" w:rsidRPr="005146B0">
          <w:rPr>
            <w:rStyle w:val="Hyperlink"/>
            <w:noProof/>
          </w:rPr>
          <w:t>Azure DNS</w:t>
        </w:r>
        <w:r w:rsidR="00992B6D">
          <w:rPr>
            <w:noProof/>
            <w:webHidden/>
          </w:rPr>
          <w:tab/>
        </w:r>
        <w:r w:rsidR="00992B6D">
          <w:rPr>
            <w:noProof/>
            <w:webHidden/>
          </w:rPr>
          <w:fldChar w:fldCharType="begin"/>
        </w:r>
        <w:r w:rsidR="00992B6D">
          <w:rPr>
            <w:noProof/>
            <w:webHidden/>
          </w:rPr>
          <w:instrText xml:space="preserve"> PAGEREF _Toc25746674 \h </w:instrText>
        </w:r>
        <w:r w:rsidR="00992B6D">
          <w:rPr>
            <w:noProof/>
            <w:webHidden/>
          </w:rPr>
        </w:r>
        <w:r w:rsidR="00992B6D">
          <w:rPr>
            <w:noProof/>
            <w:webHidden/>
          </w:rPr>
          <w:fldChar w:fldCharType="separate"/>
        </w:r>
        <w:r w:rsidR="00992B6D">
          <w:rPr>
            <w:noProof/>
            <w:webHidden/>
          </w:rPr>
          <w:t>27</w:t>
        </w:r>
        <w:r w:rsidR="00992B6D">
          <w:rPr>
            <w:noProof/>
            <w:webHidden/>
          </w:rPr>
          <w:fldChar w:fldCharType="end"/>
        </w:r>
      </w:hyperlink>
    </w:p>
    <w:p w14:paraId="2E990639" w14:textId="7FC892AD" w:rsidR="00992B6D" w:rsidRDefault="00475864">
      <w:pPr>
        <w:pStyle w:val="TOC4"/>
        <w:tabs>
          <w:tab w:val="right" w:leader="dot" w:pos="5030"/>
        </w:tabs>
        <w:rPr>
          <w:rFonts w:eastAsiaTheme="minorEastAsia"/>
          <w:smallCaps w:val="0"/>
          <w:noProof/>
          <w:sz w:val="22"/>
          <w:lang w:val="en-US" w:eastAsia="en-US" w:bidi="ar-SA"/>
        </w:rPr>
      </w:pPr>
      <w:hyperlink w:anchor="_Toc25746675" w:history="1">
        <w:r w:rsidR="00992B6D" w:rsidRPr="005146B0">
          <w:rPr>
            <w:rStyle w:val="Hyperlink"/>
            <w:noProof/>
          </w:rPr>
          <w:t>Pare-feu Azure</w:t>
        </w:r>
        <w:r w:rsidR="00992B6D">
          <w:rPr>
            <w:noProof/>
            <w:webHidden/>
          </w:rPr>
          <w:tab/>
        </w:r>
        <w:r w:rsidR="00992B6D">
          <w:rPr>
            <w:noProof/>
            <w:webHidden/>
          </w:rPr>
          <w:fldChar w:fldCharType="begin"/>
        </w:r>
        <w:r w:rsidR="00992B6D">
          <w:rPr>
            <w:noProof/>
            <w:webHidden/>
          </w:rPr>
          <w:instrText xml:space="preserve"> PAGEREF _Toc25746675 \h </w:instrText>
        </w:r>
        <w:r w:rsidR="00992B6D">
          <w:rPr>
            <w:noProof/>
            <w:webHidden/>
          </w:rPr>
        </w:r>
        <w:r w:rsidR="00992B6D">
          <w:rPr>
            <w:noProof/>
            <w:webHidden/>
          </w:rPr>
          <w:fldChar w:fldCharType="separate"/>
        </w:r>
        <w:r w:rsidR="00992B6D">
          <w:rPr>
            <w:noProof/>
            <w:webHidden/>
          </w:rPr>
          <w:t>27</w:t>
        </w:r>
        <w:r w:rsidR="00992B6D">
          <w:rPr>
            <w:noProof/>
            <w:webHidden/>
          </w:rPr>
          <w:fldChar w:fldCharType="end"/>
        </w:r>
      </w:hyperlink>
    </w:p>
    <w:p w14:paraId="3F90746D" w14:textId="5A279011" w:rsidR="00992B6D" w:rsidRDefault="00475864">
      <w:pPr>
        <w:pStyle w:val="TOC4"/>
        <w:tabs>
          <w:tab w:val="right" w:leader="dot" w:pos="5030"/>
        </w:tabs>
        <w:rPr>
          <w:rFonts w:eastAsiaTheme="minorEastAsia"/>
          <w:smallCaps w:val="0"/>
          <w:noProof/>
          <w:sz w:val="22"/>
          <w:lang w:val="en-US" w:eastAsia="en-US" w:bidi="ar-SA"/>
        </w:rPr>
      </w:pPr>
      <w:hyperlink w:anchor="_Toc25746676" w:history="1">
        <w:r w:rsidR="00992B6D" w:rsidRPr="005146B0">
          <w:rPr>
            <w:rStyle w:val="Hyperlink"/>
            <w:noProof/>
          </w:rPr>
          <w:t>Fonctions Azure</w:t>
        </w:r>
        <w:r w:rsidR="00992B6D">
          <w:rPr>
            <w:noProof/>
            <w:webHidden/>
          </w:rPr>
          <w:tab/>
        </w:r>
        <w:r w:rsidR="00992B6D">
          <w:rPr>
            <w:noProof/>
            <w:webHidden/>
          </w:rPr>
          <w:fldChar w:fldCharType="begin"/>
        </w:r>
        <w:r w:rsidR="00992B6D">
          <w:rPr>
            <w:noProof/>
            <w:webHidden/>
          </w:rPr>
          <w:instrText xml:space="preserve"> PAGEREF _Toc25746676 \h </w:instrText>
        </w:r>
        <w:r w:rsidR="00992B6D">
          <w:rPr>
            <w:noProof/>
            <w:webHidden/>
          </w:rPr>
        </w:r>
        <w:r w:rsidR="00992B6D">
          <w:rPr>
            <w:noProof/>
            <w:webHidden/>
          </w:rPr>
          <w:fldChar w:fldCharType="separate"/>
        </w:r>
        <w:r w:rsidR="00992B6D">
          <w:rPr>
            <w:noProof/>
            <w:webHidden/>
          </w:rPr>
          <w:t>28</w:t>
        </w:r>
        <w:r w:rsidR="00992B6D">
          <w:rPr>
            <w:noProof/>
            <w:webHidden/>
          </w:rPr>
          <w:fldChar w:fldCharType="end"/>
        </w:r>
      </w:hyperlink>
    </w:p>
    <w:p w14:paraId="23CF4A86" w14:textId="4FD24423" w:rsidR="00992B6D" w:rsidRDefault="00475864">
      <w:pPr>
        <w:pStyle w:val="TOC4"/>
        <w:tabs>
          <w:tab w:val="right" w:leader="dot" w:pos="5030"/>
        </w:tabs>
        <w:rPr>
          <w:rFonts w:eastAsiaTheme="minorEastAsia"/>
          <w:smallCaps w:val="0"/>
          <w:noProof/>
          <w:sz w:val="22"/>
          <w:lang w:val="en-US" w:eastAsia="en-US" w:bidi="ar-SA"/>
        </w:rPr>
      </w:pPr>
      <w:hyperlink w:anchor="_Toc25746677" w:history="1">
        <w:r w:rsidR="00992B6D" w:rsidRPr="005146B0">
          <w:rPr>
            <w:rStyle w:val="Hyperlink"/>
            <w:noProof/>
          </w:rPr>
          <w:t>Services Azure Lab</w:t>
        </w:r>
        <w:r w:rsidR="00992B6D">
          <w:rPr>
            <w:noProof/>
            <w:webHidden/>
          </w:rPr>
          <w:tab/>
        </w:r>
        <w:r w:rsidR="00992B6D">
          <w:rPr>
            <w:noProof/>
            <w:webHidden/>
          </w:rPr>
          <w:fldChar w:fldCharType="begin"/>
        </w:r>
        <w:r w:rsidR="00992B6D">
          <w:rPr>
            <w:noProof/>
            <w:webHidden/>
          </w:rPr>
          <w:instrText xml:space="preserve"> PAGEREF _Toc25746677 \h </w:instrText>
        </w:r>
        <w:r w:rsidR="00992B6D">
          <w:rPr>
            <w:noProof/>
            <w:webHidden/>
          </w:rPr>
        </w:r>
        <w:r w:rsidR="00992B6D">
          <w:rPr>
            <w:noProof/>
            <w:webHidden/>
          </w:rPr>
          <w:fldChar w:fldCharType="separate"/>
        </w:r>
        <w:r w:rsidR="00992B6D">
          <w:rPr>
            <w:noProof/>
            <w:webHidden/>
          </w:rPr>
          <w:t>28</w:t>
        </w:r>
        <w:r w:rsidR="00992B6D">
          <w:rPr>
            <w:noProof/>
            <w:webHidden/>
          </w:rPr>
          <w:fldChar w:fldCharType="end"/>
        </w:r>
      </w:hyperlink>
    </w:p>
    <w:p w14:paraId="626AB0BF" w14:textId="6F4E6527" w:rsidR="00992B6D" w:rsidRDefault="00475864">
      <w:pPr>
        <w:pStyle w:val="TOC4"/>
        <w:tabs>
          <w:tab w:val="right" w:leader="dot" w:pos="5030"/>
        </w:tabs>
        <w:rPr>
          <w:rFonts w:eastAsiaTheme="minorEastAsia"/>
          <w:smallCaps w:val="0"/>
          <w:noProof/>
          <w:sz w:val="22"/>
          <w:lang w:val="en-US" w:eastAsia="en-US" w:bidi="ar-SA"/>
        </w:rPr>
      </w:pPr>
      <w:hyperlink w:anchor="_Toc25746678" w:history="1">
        <w:r w:rsidR="00992B6D" w:rsidRPr="005146B0">
          <w:rPr>
            <w:rStyle w:val="Hyperlink"/>
            <w:noProof/>
          </w:rPr>
          <w:t>Azure Load Balancer</w:t>
        </w:r>
        <w:r w:rsidR="00992B6D">
          <w:rPr>
            <w:noProof/>
            <w:webHidden/>
          </w:rPr>
          <w:tab/>
        </w:r>
        <w:r w:rsidR="00992B6D">
          <w:rPr>
            <w:noProof/>
            <w:webHidden/>
          </w:rPr>
          <w:fldChar w:fldCharType="begin"/>
        </w:r>
        <w:r w:rsidR="00992B6D">
          <w:rPr>
            <w:noProof/>
            <w:webHidden/>
          </w:rPr>
          <w:instrText xml:space="preserve"> PAGEREF _Toc25746678 \h </w:instrText>
        </w:r>
        <w:r w:rsidR="00992B6D">
          <w:rPr>
            <w:noProof/>
            <w:webHidden/>
          </w:rPr>
        </w:r>
        <w:r w:rsidR="00992B6D">
          <w:rPr>
            <w:noProof/>
            <w:webHidden/>
          </w:rPr>
          <w:fldChar w:fldCharType="separate"/>
        </w:r>
        <w:r w:rsidR="00992B6D">
          <w:rPr>
            <w:noProof/>
            <w:webHidden/>
          </w:rPr>
          <w:t>29</w:t>
        </w:r>
        <w:r w:rsidR="00992B6D">
          <w:rPr>
            <w:noProof/>
            <w:webHidden/>
          </w:rPr>
          <w:fldChar w:fldCharType="end"/>
        </w:r>
      </w:hyperlink>
    </w:p>
    <w:p w14:paraId="320B86D3" w14:textId="14580138" w:rsidR="00992B6D" w:rsidRDefault="00475864">
      <w:pPr>
        <w:pStyle w:val="TOC4"/>
        <w:tabs>
          <w:tab w:val="right" w:leader="dot" w:pos="5030"/>
        </w:tabs>
        <w:rPr>
          <w:rFonts w:eastAsiaTheme="minorEastAsia"/>
          <w:smallCaps w:val="0"/>
          <w:noProof/>
          <w:sz w:val="22"/>
          <w:lang w:val="en-US" w:eastAsia="en-US" w:bidi="ar-SA"/>
        </w:rPr>
      </w:pPr>
      <w:hyperlink w:anchor="_Toc25746679" w:history="1">
        <w:r w:rsidR="00992B6D" w:rsidRPr="005146B0">
          <w:rPr>
            <w:rStyle w:val="Hyperlink"/>
            <w:noProof/>
          </w:rPr>
          <w:t>API Azure Maps</w:t>
        </w:r>
        <w:r w:rsidR="00992B6D">
          <w:rPr>
            <w:noProof/>
            <w:webHidden/>
          </w:rPr>
          <w:tab/>
        </w:r>
        <w:r w:rsidR="00992B6D">
          <w:rPr>
            <w:noProof/>
            <w:webHidden/>
          </w:rPr>
          <w:fldChar w:fldCharType="begin"/>
        </w:r>
        <w:r w:rsidR="00992B6D">
          <w:rPr>
            <w:noProof/>
            <w:webHidden/>
          </w:rPr>
          <w:instrText xml:space="preserve"> PAGEREF _Toc25746679 \h </w:instrText>
        </w:r>
        <w:r w:rsidR="00992B6D">
          <w:rPr>
            <w:noProof/>
            <w:webHidden/>
          </w:rPr>
        </w:r>
        <w:r w:rsidR="00992B6D">
          <w:rPr>
            <w:noProof/>
            <w:webHidden/>
          </w:rPr>
          <w:fldChar w:fldCharType="separate"/>
        </w:r>
        <w:r w:rsidR="00992B6D">
          <w:rPr>
            <w:noProof/>
            <w:webHidden/>
          </w:rPr>
          <w:t>29</w:t>
        </w:r>
        <w:r w:rsidR="00992B6D">
          <w:rPr>
            <w:noProof/>
            <w:webHidden/>
          </w:rPr>
          <w:fldChar w:fldCharType="end"/>
        </w:r>
      </w:hyperlink>
    </w:p>
    <w:p w14:paraId="7F4014A8" w14:textId="29BDEF13" w:rsidR="00992B6D" w:rsidRDefault="00475864">
      <w:pPr>
        <w:pStyle w:val="TOC4"/>
        <w:tabs>
          <w:tab w:val="right" w:leader="dot" w:pos="5030"/>
        </w:tabs>
        <w:rPr>
          <w:rFonts w:eastAsiaTheme="minorEastAsia"/>
          <w:smallCaps w:val="0"/>
          <w:noProof/>
          <w:sz w:val="22"/>
          <w:lang w:val="en-US" w:eastAsia="en-US" w:bidi="ar-SA"/>
        </w:rPr>
      </w:pPr>
      <w:hyperlink w:anchor="_Toc25746680" w:history="1">
        <w:r w:rsidR="00992B6D" w:rsidRPr="005146B0">
          <w:rPr>
            <w:rStyle w:val="Hyperlink"/>
            <w:noProof/>
          </w:rPr>
          <w:t>Azure Monitor</w:t>
        </w:r>
        <w:r w:rsidR="00992B6D">
          <w:rPr>
            <w:noProof/>
            <w:webHidden/>
          </w:rPr>
          <w:tab/>
        </w:r>
        <w:r w:rsidR="00992B6D">
          <w:rPr>
            <w:noProof/>
            <w:webHidden/>
          </w:rPr>
          <w:fldChar w:fldCharType="begin"/>
        </w:r>
        <w:r w:rsidR="00992B6D">
          <w:rPr>
            <w:noProof/>
            <w:webHidden/>
          </w:rPr>
          <w:instrText xml:space="preserve"> PAGEREF _Toc25746680 \h </w:instrText>
        </w:r>
        <w:r w:rsidR="00992B6D">
          <w:rPr>
            <w:noProof/>
            <w:webHidden/>
          </w:rPr>
        </w:r>
        <w:r w:rsidR="00992B6D">
          <w:rPr>
            <w:noProof/>
            <w:webHidden/>
          </w:rPr>
          <w:fldChar w:fldCharType="separate"/>
        </w:r>
        <w:r w:rsidR="00992B6D">
          <w:rPr>
            <w:noProof/>
            <w:webHidden/>
          </w:rPr>
          <w:t>30</w:t>
        </w:r>
        <w:r w:rsidR="00992B6D">
          <w:rPr>
            <w:noProof/>
            <w:webHidden/>
          </w:rPr>
          <w:fldChar w:fldCharType="end"/>
        </w:r>
      </w:hyperlink>
    </w:p>
    <w:p w14:paraId="58656039" w14:textId="46A582D8" w:rsidR="00992B6D" w:rsidRDefault="00475864">
      <w:pPr>
        <w:pStyle w:val="TOC4"/>
        <w:tabs>
          <w:tab w:val="right" w:leader="dot" w:pos="5030"/>
        </w:tabs>
        <w:rPr>
          <w:rFonts w:eastAsiaTheme="minorEastAsia"/>
          <w:smallCaps w:val="0"/>
          <w:noProof/>
          <w:sz w:val="22"/>
          <w:lang w:val="en-US" w:eastAsia="en-US" w:bidi="ar-SA"/>
        </w:rPr>
      </w:pPr>
      <w:hyperlink w:anchor="_Toc25746681" w:history="1">
        <w:r w:rsidR="00992B6D" w:rsidRPr="005146B0">
          <w:rPr>
            <w:rStyle w:val="Hyperlink"/>
            <w:noProof/>
          </w:rPr>
          <w:t>Alertes Azure Monitor</w:t>
        </w:r>
        <w:r w:rsidR="00992B6D">
          <w:rPr>
            <w:noProof/>
            <w:webHidden/>
          </w:rPr>
          <w:tab/>
        </w:r>
        <w:r w:rsidR="00992B6D">
          <w:rPr>
            <w:noProof/>
            <w:webHidden/>
          </w:rPr>
          <w:fldChar w:fldCharType="begin"/>
        </w:r>
        <w:r w:rsidR="00992B6D">
          <w:rPr>
            <w:noProof/>
            <w:webHidden/>
          </w:rPr>
          <w:instrText xml:space="preserve"> PAGEREF _Toc25746681 \h </w:instrText>
        </w:r>
        <w:r w:rsidR="00992B6D">
          <w:rPr>
            <w:noProof/>
            <w:webHidden/>
          </w:rPr>
        </w:r>
        <w:r w:rsidR="00992B6D">
          <w:rPr>
            <w:noProof/>
            <w:webHidden/>
          </w:rPr>
          <w:fldChar w:fldCharType="separate"/>
        </w:r>
        <w:r w:rsidR="00992B6D">
          <w:rPr>
            <w:noProof/>
            <w:webHidden/>
          </w:rPr>
          <w:t>30</w:t>
        </w:r>
        <w:r w:rsidR="00992B6D">
          <w:rPr>
            <w:noProof/>
            <w:webHidden/>
          </w:rPr>
          <w:fldChar w:fldCharType="end"/>
        </w:r>
      </w:hyperlink>
    </w:p>
    <w:p w14:paraId="442959D3" w14:textId="135CAF00" w:rsidR="00992B6D" w:rsidRDefault="00475864">
      <w:pPr>
        <w:pStyle w:val="TOC4"/>
        <w:tabs>
          <w:tab w:val="right" w:leader="dot" w:pos="5030"/>
        </w:tabs>
        <w:rPr>
          <w:rFonts w:eastAsiaTheme="minorEastAsia"/>
          <w:smallCaps w:val="0"/>
          <w:noProof/>
          <w:sz w:val="22"/>
          <w:lang w:val="en-US" w:eastAsia="en-US" w:bidi="ar-SA"/>
        </w:rPr>
      </w:pPr>
      <w:hyperlink w:anchor="_Toc25746682" w:history="1">
        <w:r w:rsidR="00992B6D" w:rsidRPr="005146B0">
          <w:rPr>
            <w:rStyle w:val="Hyperlink"/>
            <w:noProof/>
          </w:rPr>
          <w:t>Livraison des Notifications Azure Monitor</w:t>
        </w:r>
        <w:r w:rsidR="00992B6D">
          <w:rPr>
            <w:noProof/>
            <w:webHidden/>
          </w:rPr>
          <w:tab/>
        </w:r>
        <w:r w:rsidR="00992B6D">
          <w:rPr>
            <w:noProof/>
            <w:webHidden/>
          </w:rPr>
          <w:fldChar w:fldCharType="begin"/>
        </w:r>
        <w:r w:rsidR="00992B6D">
          <w:rPr>
            <w:noProof/>
            <w:webHidden/>
          </w:rPr>
          <w:instrText xml:space="preserve"> PAGEREF _Toc25746682 \h </w:instrText>
        </w:r>
        <w:r w:rsidR="00992B6D">
          <w:rPr>
            <w:noProof/>
            <w:webHidden/>
          </w:rPr>
        </w:r>
        <w:r w:rsidR="00992B6D">
          <w:rPr>
            <w:noProof/>
            <w:webHidden/>
          </w:rPr>
          <w:fldChar w:fldCharType="separate"/>
        </w:r>
        <w:r w:rsidR="00992B6D">
          <w:rPr>
            <w:noProof/>
            <w:webHidden/>
          </w:rPr>
          <w:t>30</w:t>
        </w:r>
        <w:r w:rsidR="00992B6D">
          <w:rPr>
            <w:noProof/>
            <w:webHidden/>
          </w:rPr>
          <w:fldChar w:fldCharType="end"/>
        </w:r>
      </w:hyperlink>
    </w:p>
    <w:p w14:paraId="0167DBCF" w14:textId="5C996E7F" w:rsidR="00992B6D" w:rsidRDefault="00475864">
      <w:pPr>
        <w:pStyle w:val="TOC4"/>
        <w:tabs>
          <w:tab w:val="right" w:leader="dot" w:pos="5030"/>
        </w:tabs>
        <w:rPr>
          <w:rFonts w:eastAsiaTheme="minorEastAsia"/>
          <w:smallCaps w:val="0"/>
          <w:noProof/>
          <w:sz w:val="22"/>
          <w:lang w:val="en-US" w:eastAsia="en-US" w:bidi="ar-SA"/>
        </w:rPr>
      </w:pPr>
      <w:hyperlink w:anchor="_Toc25746683" w:history="1">
        <w:r w:rsidR="00992B6D" w:rsidRPr="005146B0">
          <w:rPr>
            <w:rStyle w:val="Hyperlink"/>
            <w:noProof/>
          </w:rPr>
          <w:t>Azure Security Center</w:t>
        </w:r>
        <w:r w:rsidR="00992B6D">
          <w:rPr>
            <w:noProof/>
            <w:webHidden/>
          </w:rPr>
          <w:tab/>
        </w:r>
        <w:r w:rsidR="00992B6D">
          <w:rPr>
            <w:noProof/>
            <w:webHidden/>
          </w:rPr>
          <w:fldChar w:fldCharType="begin"/>
        </w:r>
        <w:r w:rsidR="00992B6D">
          <w:rPr>
            <w:noProof/>
            <w:webHidden/>
          </w:rPr>
          <w:instrText xml:space="preserve"> PAGEREF _Toc25746683 \h </w:instrText>
        </w:r>
        <w:r w:rsidR="00992B6D">
          <w:rPr>
            <w:noProof/>
            <w:webHidden/>
          </w:rPr>
        </w:r>
        <w:r w:rsidR="00992B6D">
          <w:rPr>
            <w:noProof/>
            <w:webHidden/>
          </w:rPr>
          <w:fldChar w:fldCharType="separate"/>
        </w:r>
        <w:r w:rsidR="00992B6D">
          <w:rPr>
            <w:noProof/>
            <w:webHidden/>
          </w:rPr>
          <w:t>31</w:t>
        </w:r>
        <w:r w:rsidR="00992B6D">
          <w:rPr>
            <w:noProof/>
            <w:webHidden/>
          </w:rPr>
          <w:fldChar w:fldCharType="end"/>
        </w:r>
      </w:hyperlink>
    </w:p>
    <w:p w14:paraId="086833BF" w14:textId="4FCAC386" w:rsidR="00992B6D" w:rsidRDefault="00475864">
      <w:pPr>
        <w:pStyle w:val="TOC4"/>
        <w:tabs>
          <w:tab w:val="right" w:leader="dot" w:pos="5030"/>
        </w:tabs>
        <w:rPr>
          <w:rFonts w:eastAsiaTheme="minorEastAsia"/>
          <w:smallCaps w:val="0"/>
          <w:noProof/>
          <w:sz w:val="22"/>
          <w:lang w:val="en-US" w:eastAsia="en-US" w:bidi="ar-SA"/>
        </w:rPr>
      </w:pPr>
      <w:hyperlink w:anchor="_Toc25746684" w:history="1">
        <w:r w:rsidR="00992B6D" w:rsidRPr="005146B0">
          <w:rPr>
            <w:rStyle w:val="Hyperlink"/>
            <w:noProof/>
          </w:rPr>
          <w:t>Azure Virtual WAN</w:t>
        </w:r>
        <w:r w:rsidR="00992B6D">
          <w:rPr>
            <w:noProof/>
            <w:webHidden/>
          </w:rPr>
          <w:tab/>
        </w:r>
        <w:r w:rsidR="00992B6D">
          <w:rPr>
            <w:noProof/>
            <w:webHidden/>
          </w:rPr>
          <w:fldChar w:fldCharType="begin"/>
        </w:r>
        <w:r w:rsidR="00992B6D">
          <w:rPr>
            <w:noProof/>
            <w:webHidden/>
          </w:rPr>
          <w:instrText xml:space="preserve"> PAGEREF _Toc25746684 \h </w:instrText>
        </w:r>
        <w:r w:rsidR="00992B6D">
          <w:rPr>
            <w:noProof/>
            <w:webHidden/>
          </w:rPr>
        </w:r>
        <w:r w:rsidR="00992B6D">
          <w:rPr>
            <w:noProof/>
            <w:webHidden/>
          </w:rPr>
          <w:fldChar w:fldCharType="separate"/>
        </w:r>
        <w:r w:rsidR="00992B6D">
          <w:rPr>
            <w:noProof/>
            <w:webHidden/>
          </w:rPr>
          <w:t>31</w:t>
        </w:r>
        <w:r w:rsidR="00992B6D">
          <w:rPr>
            <w:noProof/>
            <w:webHidden/>
          </w:rPr>
          <w:fldChar w:fldCharType="end"/>
        </w:r>
      </w:hyperlink>
    </w:p>
    <w:p w14:paraId="2095EBEC" w14:textId="70AEBB06" w:rsidR="00992B6D" w:rsidRDefault="00475864">
      <w:pPr>
        <w:pStyle w:val="TOC4"/>
        <w:tabs>
          <w:tab w:val="right" w:leader="dot" w:pos="5030"/>
        </w:tabs>
        <w:rPr>
          <w:rFonts w:eastAsiaTheme="minorEastAsia"/>
          <w:smallCaps w:val="0"/>
          <w:noProof/>
          <w:sz w:val="22"/>
          <w:lang w:val="en-US" w:eastAsia="en-US" w:bidi="ar-SA"/>
        </w:rPr>
      </w:pPr>
      <w:hyperlink w:anchor="_Toc25746685" w:history="1">
        <w:r w:rsidR="00992B6D" w:rsidRPr="005146B0">
          <w:rPr>
            <w:rStyle w:val="Hyperlink"/>
            <w:noProof/>
          </w:rPr>
          <w:t>Service Batch</w:t>
        </w:r>
        <w:r w:rsidR="00992B6D">
          <w:rPr>
            <w:noProof/>
            <w:webHidden/>
          </w:rPr>
          <w:tab/>
        </w:r>
        <w:r w:rsidR="00992B6D">
          <w:rPr>
            <w:noProof/>
            <w:webHidden/>
          </w:rPr>
          <w:fldChar w:fldCharType="begin"/>
        </w:r>
        <w:r w:rsidR="00992B6D">
          <w:rPr>
            <w:noProof/>
            <w:webHidden/>
          </w:rPr>
          <w:instrText xml:space="preserve"> PAGEREF _Toc25746685 \h </w:instrText>
        </w:r>
        <w:r w:rsidR="00992B6D">
          <w:rPr>
            <w:noProof/>
            <w:webHidden/>
          </w:rPr>
        </w:r>
        <w:r w:rsidR="00992B6D">
          <w:rPr>
            <w:noProof/>
            <w:webHidden/>
          </w:rPr>
          <w:fldChar w:fldCharType="separate"/>
        </w:r>
        <w:r w:rsidR="00992B6D">
          <w:rPr>
            <w:noProof/>
            <w:webHidden/>
          </w:rPr>
          <w:t>32</w:t>
        </w:r>
        <w:r w:rsidR="00992B6D">
          <w:rPr>
            <w:noProof/>
            <w:webHidden/>
          </w:rPr>
          <w:fldChar w:fldCharType="end"/>
        </w:r>
      </w:hyperlink>
    </w:p>
    <w:p w14:paraId="3288914B" w14:textId="1022E3AF" w:rsidR="00992B6D" w:rsidRDefault="00475864">
      <w:pPr>
        <w:pStyle w:val="TOC4"/>
        <w:tabs>
          <w:tab w:val="right" w:leader="dot" w:pos="5030"/>
        </w:tabs>
        <w:rPr>
          <w:rFonts w:eastAsiaTheme="minorEastAsia"/>
          <w:smallCaps w:val="0"/>
          <w:noProof/>
          <w:sz w:val="22"/>
          <w:lang w:val="en-US" w:eastAsia="en-US" w:bidi="ar-SA"/>
        </w:rPr>
      </w:pPr>
      <w:hyperlink w:anchor="_Toc25746686" w:history="1">
        <w:r w:rsidR="00992B6D" w:rsidRPr="005146B0">
          <w:rPr>
            <w:rStyle w:val="Hyperlink"/>
            <w:noProof/>
          </w:rPr>
          <w:t>Service Backup</w:t>
        </w:r>
        <w:r w:rsidR="00992B6D">
          <w:rPr>
            <w:noProof/>
            <w:webHidden/>
          </w:rPr>
          <w:tab/>
        </w:r>
        <w:r w:rsidR="00992B6D">
          <w:rPr>
            <w:noProof/>
            <w:webHidden/>
          </w:rPr>
          <w:fldChar w:fldCharType="begin"/>
        </w:r>
        <w:r w:rsidR="00992B6D">
          <w:rPr>
            <w:noProof/>
            <w:webHidden/>
          </w:rPr>
          <w:instrText xml:space="preserve"> PAGEREF _Toc25746686 \h </w:instrText>
        </w:r>
        <w:r w:rsidR="00992B6D">
          <w:rPr>
            <w:noProof/>
            <w:webHidden/>
          </w:rPr>
        </w:r>
        <w:r w:rsidR="00992B6D">
          <w:rPr>
            <w:noProof/>
            <w:webHidden/>
          </w:rPr>
          <w:fldChar w:fldCharType="separate"/>
        </w:r>
        <w:r w:rsidR="00992B6D">
          <w:rPr>
            <w:noProof/>
            <w:webHidden/>
          </w:rPr>
          <w:t>32</w:t>
        </w:r>
        <w:r w:rsidR="00992B6D">
          <w:rPr>
            <w:noProof/>
            <w:webHidden/>
          </w:rPr>
          <w:fldChar w:fldCharType="end"/>
        </w:r>
      </w:hyperlink>
    </w:p>
    <w:p w14:paraId="3C3AB031" w14:textId="61C15C75" w:rsidR="00992B6D" w:rsidRDefault="00475864">
      <w:pPr>
        <w:pStyle w:val="TOC4"/>
        <w:tabs>
          <w:tab w:val="right" w:leader="dot" w:pos="5030"/>
        </w:tabs>
        <w:rPr>
          <w:rFonts w:eastAsiaTheme="minorEastAsia"/>
          <w:smallCaps w:val="0"/>
          <w:noProof/>
          <w:sz w:val="22"/>
          <w:lang w:val="en-US" w:eastAsia="en-US" w:bidi="ar-SA"/>
        </w:rPr>
      </w:pPr>
      <w:hyperlink w:anchor="_Toc25746687" w:history="1">
        <w:r w:rsidR="00992B6D" w:rsidRPr="005146B0">
          <w:rPr>
            <w:rStyle w:val="Hyperlink"/>
            <w:noProof/>
            <w:lang w:val="en-US" w:eastAsia="en-US"/>
          </w:rPr>
          <w:t>Services BizTalk</w:t>
        </w:r>
        <w:r w:rsidR="00992B6D">
          <w:rPr>
            <w:noProof/>
            <w:webHidden/>
          </w:rPr>
          <w:tab/>
        </w:r>
        <w:r w:rsidR="00992B6D">
          <w:rPr>
            <w:noProof/>
            <w:webHidden/>
          </w:rPr>
          <w:fldChar w:fldCharType="begin"/>
        </w:r>
        <w:r w:rsidR="00992B6D">
          <w:rPr>
            <w:noProof/>
            <w:webHidden/>
          </w:rPr>
          <w:instrText xml:space="preserve"> PAGEREF _Toc25746687 \h </w:instrText>
        </w:r>
        <w:r w:rsidR="00992B6D">
          <w:rPr>
            <w:noProof/>
            <w:webHidden/>
          </w:rPr>
        </w:r>
        <w:r w:rsidR="00992B6D">
          <w:rPr>
            <w:noProof/>
            <w:webHidden/>
          </w:rPr>
          <w:fldChar w:fldCharType="separate"/>
        </w:r>
        <w:r w:rsidR="00992B6D">
          <w:rPr>
            <w:noProof/>
            <w:webHidden/>
          </w:rPr>
          <w:t>33</w:t>
        </w:r>
        <w:r w:rsidR="00992B6D">
          <w:rPr>
            <w:noProof/>
            <w:webHidden/>
          </w:rPr>
          <w:fldChar w:fldCharType="end"/>
        </w:r>
      </w:hyperlink>
    </w:p>
    <w:p w14:paraId="32862400" w14:textId="54DD7B0C" w:rsidR="00992B6D" w:rsidRDefault="00475864">
      <w:pPr>
        <w:pStyle w:val="TOC4"/>
        <w:tabs>
          <w:tab w:val="right" w:leader="dot" w:pos="5030"/>
        </w:tabs>
        <w:rPr>
          <w:rFonts w:eastAsiaTheme="minorEastAsia"/>
          <w:smallCaps w:val="0"/>
          <w:noProof/>
          <w:sz w:val="22"/>
          <w:lang w:val="en-US" w:eastAsia="en-US" w:bidi="ar-SA"/>
        </w:rPr>
      </w:pPr>
      <w:hyperlink w:anchor="_Toc25746688" w:history="1">
        <w:r w:rsidR="00992B6D" w:rsidRPr="005146B0">
          <w:rPr>
            <w:rStyle w:val="Hyperlink"/>
            <w:noProof/>
            <w:lang w:eastAsia="en-US"/>
          </w:rPr>
          <w:t>Services de Cache</w:t>
        </w:r>
        <w:r w:rsidR="00992B6D">
          <w:rPr>
            <w:noProof/>
            <w:webHidden/>
          </w:rPr>
          <w:tab/>
        </w:r>
        <w:r w:rsidR="00992B6D">
          <w:rPr>
            <w:noProof/>
            <w:webHidden/>
          </w:rPr>
          <w:fldChar w:fldCharType="begin"/>
        </w:r>
        <w:r w:rsidR="00992B6D">
          <w:rPr>
            <w:noProof/>
            <w:webHidden/>
          </w:rPr>
          <w:instrText xml:space="preserve"> PAGEREF _Toc25746688 \h </w:instrText>
        </w:r>
        <w:r w:rsidR="00992B6D">
          <w:rPr>
            <w:noProof/>
            <w:webHidden/>
          </w:rPr>
        </w:r>
        <w:r w:rsidR="00992B6D">
          <w:rPr>
            <w:noProof/>
            <w:webHidden/>
          </w:rPr>
          <w:fldChar w:fldCharType="separate"/>
        </w:r>
        <w:r w:rsidR="00992B6D">
          <w:rPr>
            <w:noProof/>
            <w:webHidden/>
          </w:rPr>
          <w:t>33</w:t>
        </w:r>
        <w:r w:rsidR="00992B6D">
          <w:rPr>
            <w:noProof/>
            <w:webHidden/>
          </w:rPr>
          <w:fldChar w:fldCharType="end"/>
        </w:r>
      </w:hyperlink>
    </w:p>
    <w:p w14:paraId="5F1FEE36" w14:textId="4DD0837B" w:rsidR="00992B6D" w:rsidRDefault="00475864">
      <w:pPr>
        <w:pStyle w:val="TOC4"/>
        <w:tabs>
          <w:tab w:val="right" w:leader="dot" w:pos="5030"/>
        </w:tabs>
        <w:rPr>
          <w:rFonts w:eastAsiaTheme="minorEastAsia"/>
          <w:smallCaps w:val="0"/>
          <w:noProof/>
          <w:sz w:val="22"/>
          <w:lang w:val="en-US" w:eastAsia="en-US" w:bidi="ar-SA"/>
        </w:rPr>
      </w:pPr>
      <w:hyperlink w:anchor="_Toc25746689" w:history="1">
        <w:r w:rsidR="00992B6D" w:rsidRPr="005146B0">
          <w:rPr>
            <w:rStyle w:val="Hyperlink"/>
            <w:noProof/>
            <w:lang w:eastAsia="en-US"/>
          </w:rPr>
          <w:t>Service CDN</w:t>
        </w:r>
        <w:r w:rsidR="00992B6D">
          <w:rPr>
            <w:noProof/>
            <w:webHidden/>
          </w:rPr>
          <w:tab/>
        </w:r>
        <w:r w:rsidR="00992B6D">
          <w:rPr>
            <w:noProof/>
            <w:webHidden/>
          </w:rPr>
          <w:fldChar w:fldCharType="begin"/>
        </w:r>
        <w:r w:rsidR="00992B6D">
          <w:rPr>
            <w:noProof/>
            <w:webHidden/>
          </w:rPr>
          <w:instrText xml:space="preserve"> PAGEREF _Toc25746689 \h </w:instrText>
        </w:r>
        <w:r w:rsidR="00992B6D">
          <w:rPr>
            <w:noProof/>
            <w:webHidden/>
          </w:rPr>
        </w:r>
        <w:r w:rsidR="00992B6D">
          <w:rPr>
            <w:noProof/>
            <w:webHidden/>
          </w:rPr>
          <w:fldChar w:fldCharType="separate"/>
        </w:r>
        <w:r w:rsidR="00992B6D">
          <w:rPr>
            <w:noProof/>
            <w:webHidden/>
          </w:rPr>
          <w:t>34</w:t>
        </w:r>
        <w:r w:rsidR="00992B6D">
          <w:rPr>
            <w:noProof/>
            <w:webHidden/>
          </w:rPr>
          <w:fldChar w:fldCharType="end"/>
        </w:r>
      </w:hyperlink>
    </w:p>
    <w:p w14:paraId="67028221" w14:textId="23F06812" w:rsidR="00992B6D" w:rsidRDefault="00475864">
      <w:pPr>
        <w:pStyle w:val="TOC4"/>
        <w:tabs>
          <w:tab w:val="right" w:leader="dot" w:pos="5030"/>
        </w:tabs>
        <w:rPr>
          <w:rFonts w:eastAsiaTheme="minorEastAsia"/>
          <w:smallCaps w:val="0"/>
          <w:noProof/>
          <w:sz w:val="22"/>
          <w:lang w:val="en-US" w:eastAsia="en-US" w:bidi="ar-SA"/>
        </w:rPr>
      </w:pPr>
      <w:hyperlink w:anchor="_Toc25746690" w:history="1">
        <w:r w:rsidR="00992B6D" w:rsidRPr="005146B0">
          <w:rPr>
            <w:rStyle w:val="Hyperlink"/>
            <w:noProof/>
          </w:rPr>
          <w:t>Services cloud</w:t>
        </w:r>
        <w:r w:rsidR="00992B6D">
          <w:rPr>
            <w:noProof/>
            <w:webHidden/>
          </w:rPr>
          <w:tab/>
        </w:r>
        <w:r w:rsidR="00992B6D">
          <w:rPr>
            <w:noProof/>
            <w:webHidden/>
          </w:rPr>
          <w:fldChar w:fldCharType="begin"/>
        </w:r>
        <w:r w:rsidR="00992B6D">
          <w:rPr>
            <w:noProof/>
            <w:webHidden/>
          </w:rPr>
          <w:instrText xml:space="preserve"> PAGEREF _Toc25746690 \h </w:instrText>
        </w:r>
        <w:r w:rsidR="00992B6D">
          <w:rPr>
            <w:noProof/>
            <w:webHidden/>
          </w:rPr>
        </w:r>
        <w:r w:rsidR="00992B6D">
          <w:rPr>
            <w:noProof/>
            <w:webHidden/>
          </w:rPr>
          <w:fldChar w:fldCharType="separate"/>
        </w:r>
        <w:r w:rsidR="00992B6D">
          <w:rPr>
            <w:noProof/>
            <w:webHidden/>
          </w:rPr>
          <w:t>35</w:t>
        </w:r>
        <w:r w:rsidR="00992B6D">
          <w:rPr>
            <w:noProof/>
            <w:webHidden/>
          </w:rPr>
          <w:fldChar w:fldCharType="end"/>
        </w:r>
      </w:hyperlink>
    </w:p>
    <w:p w14:paraId="66471722" w14:textId="6813C6F9" w:rsidR="00992B6D" w:rsidRDefault="00475864">
      <w:pPr>
        <w:pStyle w:val="TOC4"/>
        <w:tabs>
          <w:tab w:val="right" w:leader="dot" w:pos="5030"/>
        </w:tabs>
        <w:rPr>
          <w:rFonts w:eastAsiaTheme="minorEastAsia"/>
          <w:smallCaps w:val="0"/>
          <w:noProof/>
          <w:sz w:val="22"/>
          <w:lang w:val="en-US" w:eastAsia="en-US" w:bidi="ar-SA"/>
        </w:rPr>
      </w:pPr>
      <w:hyperlink w:anchor="_Toc25746691" w:history="1">
        <w:r w:rsidR="00992B6D" w:rsidRPr="005146B0">
          <w:rPr>
            <w:rStyle w:val="Hyperlink"/>
            <w:noProof/>
          </w:rPr>
          <w:t>Registre de Conteneurs</w:t>
        </w:r>
        <w:r w:rsidR="00992B6D">
          <w:rPr>
            <w:noProof/>
            <w:webHidden/>
          </w:rPr>
          <w:tab/>
        </w:r>
        <w:r w:rsidR="00992B6D">
          <w:rPr>
            <w:noProof/>
            <w:webHidden/>
          </w:rPr>
          <w:fldChar w:fldCharType="begin"/>
        </w:r>
        <w:r w:rsidR="00992B6D">
          <w:rPr>
            <w:noProof/>
            <w:webHidden/>
          </w:rPr>
          <w:instrText xml:space="preserve"> PAGEREF _Toc25746691 \h </w:instrText>
        </w:r>
        <w:r w:rsidR="00992B6D">
          <w:rPr>
            <w:noProof/>
            <w:webHidden/>
          </w:rPr>
        </w:r>
        <w:r w:rsidR="00992B6D">
          <w:rPr>
            <w:noProof/>
            <w:webHidden/>
          </w:rPr>
          <w:fldChar w:fldCharType="separate"/>
        </w:r>
        <w:r w:rsidR="00992B6D">
          <w:rPr>
            <w:noProof/>
            <w:webHidden/>
          </w:rPr>
          <w:t>35</w:t>
        </w:r>
        <w:r w:rsidR="00992B6D">
          <w:rPr>
            <w:noProof/>
            <w:webHidden/>
          </w:rPr>
          <w:fldChar w:fldCharType="end"/>
        </w:r>
      </w:hyperlink>
    </w:p>
    <w:p w14:paraId="504F69D0" w14:textId="53430B58" w:rsidR="00992B6D" w:rsidRDefault="00475864">
      <w:pPr>
        <w:pStyle w:val="TOC4"/>
        <w:tabs>
          <w:tab w:val="right" w:leader="dot" w:pos="5030"/>
        </w:tabs>
        <w:rPr>
          <w:rFonts w:eastAsiaTheme="minorEastAsia"/>
          <w:smallCaps w:val="0"/>
          <w:noProof/>
          <w:sz w:val="22"/>
          <w:lang w:val="en-US" w:eastAsia="en-US" w:bidi="ar-SA"/>
        </w:rPr>
      </w:pPr>
      <w:hyperlink w:anchor="_Toc25746692" w:history="1">
        <w:r w:rsidR="00992B6D" w:rsidRPr="005146B0">
          <w:rPr>
            <w:rStyle w:val="Hyperlink"/>
            <w:noProof/>
          </w:rPr>
          <w:t>Catalogue de Données</w:t>
        </w:r>
        <w:r w:rsidR="00992B6D">
          <w:rPr>
            <w:noProof/>
            <w:webHidden/>
          </w:rPr>
          <w:tab/>
        </w:r>
        <w:r w:rsidR="00992B6D">
          <w:rPr>
            <w:noProof/>
            <w:webHidden/>
          </w:rPr>
          <w:fldChar w:fldCharType="begin"/>
        </w:r>
        <w:r w:rsidR="00992B6D">
          <w:rPr>
            <w:noProof/>
            <w:webHidden/>
          </w:rPr>
          <w:instrText xml:space="preserve"> PAGEREF _Toc25746692 \h </w:instrText>
        </w:r>
        <w:r w:rsidR="00992B6D">
          <w:rPr>
            <w:noProof/>
            <w:webHidden/>
          </w:rPr>
        </w:r>
        <w:r w:rsidR="00992B6D">
          <w:rPr>
            <w:noProof/>
            <w:webHidden/>
          </w:rPr>
          <w:fldChar w:fldCharType="separate"/>
        </w:r>
        <w:r w:rsidR="00992B6D">
          <w:rPr>
            <w:noProof/>
            <w:webHidden/>
          </w:rPr>
          <w:t>36</w:t>
        </w:r>
        <w:r w:rsidR="00992B6D">
          <w:rPr>
            <w:noProof/>
            <w:webHidden/>
          </w:rPr>
          <w:fldChar w:fldCharType="end"/>
        </w:r>
      </w:hyperlink>
    </w:p>
    <w:p w14:paraId="119B3113" w14:textId="5DDA3F56" w:rsidR="00992B6D" w:rsidRDefault="00475864">
      <w:pPr>
        <w:pStyle w:val="TOC4"/>
        <w:tabs>
          <w:tab w:val="right" w:leader="dot" w:pos="5030"/>
        </w:tabs>
        <w:rPr>
          <w:rFonts w:eastAsiaTheme="minorEastAsia"/>
          <w:smallCaps w:val="0"/>
          <w:noProof/>
          <w:sz w:val="22"/>
          <w:lang w:val="en-US" w:eastAsia="en-US" w:bidi="ar-SA"/>
        </w:rPr>
      </w:pPr>
      <w:hyperlink w:anchor="_Toc25746693" w:history="1">
        <w:r w:rsidR="00992B6D" w:rsidRPr="005146B0">
          <w:rPr>
            <w:rStyle w:val="Hyperlink"/>
            <w:noProof/>
          </w:rPr>
          <w:t>Data Factory - Exécutions d’Activité</w:t>
        </w:r>
        <w:r w:rsidR="00992B6D">
          <w:rPr>
            <w:noProof/>
            <w:webHidden/>
          </w:rPr>
          <w:tab/>
        </w:r>
        <w:r w:rsidR="00992B6D">
          <w:rPr>
            <w:noProof/>
            <w:webHidden/>
          </w:rPr>
          <w:fldChar w:fldCharType="begin"/>
        </w:r>
        <w:r w:rsidR="00992B6D">
          <w:rPr>
            <w:noProof/>
            <w:webHidden/>
          </w:rPr>
          <w:instrText xml:space="preserve"> PAGEREF _Toc25746693 \h </w:instrText>
        </w:r>
        <w:r w:rsidR="00992B6D">
          <w:rPr>
            <w:noProof/>
            <w:webHidden/>
          </w:rPr>
        </w:r>
        <w:r w:rsidR="00992B6D">
          <w:rPr>
            <w:noProof/>
            <w:webHidden/>
          </w:rPr>
          <w:fldChar w:fldCharType="separate"/>
        </w:r>
        <w:r w:rsidR="00992B6D">
          <w:rPr>
            <w:noProof/>
            <w:webHidden/>
          </w:rPr>
          <w:t>36</w:t>
        </w:r>
        <w:r w:rsidR="00992B6D">
          <w:rPr>
            <w:noProof/>
            <w:webHidden/>
          </w:rPr>
          <w:fldChar w:fldCharType="end"/>
        </w:r>
      </w:hyperlink>
    </w:p>
    <w:p w14:paraId="09B65795" w14:textId="46C04736" w:rsidR="00992B6D" w:rsidRDefault="00475864">
      <w:pPr>
        <w:pStyle w:val="TOC4"/>
        <w:tabs>
          <w:tab w:val="right" w:leader="dot" w:pos="5030"/>
        </w:tabs>
        <w:rPr>
          <w:rFonts w:eastAsiaTheme="minorEastAsia"/>
          <w:smallCaps w:val="0"/>
          <w:noProof/>
          <w:sz w:val="22"/>
          <w:lang w:val="en-US" w:eastAsia="en-US" w:bidi="ar-SA"/>
        </w:rPr>
      </w:pPr>
      <w:hyperlink w:anchor="_Toc25746694" w:history="1">
        <w:r w:rsidR="00992B6D" w:rsidRPr="005146B0">
          <w:rPr>
            <w:rStyle w:val="Hyperlink"/>
            <w:noProof/>
          </w:rPr>
          <w:t>Data Factory - Appels d’API</w:t>
        </w:r>
        <w:r w:rsidR="00992B6D">
          <w:rPr>
            <w:noProof/>
            <w:webHidden/>
          </w:rPr>
          <w:tab/>
        </w:r>
        <w:r w:rsidR="00992B6D">
          <w:rPr>
            <w:noProof/>
            <w:webHidden/>
          </w:rPr>
          <w:fldChar w:fldCharType="begin"/>
        </w:r>
        <w:r w:rsidR="00992B6D">
          <w:rPr>
            <w:noProof/>
            <w:webHidden/>
          </w:rPr>
          <w:instrText xml:space="preserve"> PAGEREF _Toc25746694 \h </w:instrText>
        </w:r>
        <w:r w:rsidR="00992B6D">
          <w:rPr>
            <w:noProof/>
            <w:webHidden/>
          </w:rPr>
        </w:r>
        <w:r w:rsidR="00992B6D">
          <w:rPr>
            <w:noProof/>
            <w:webHidden/>
          </w:rPr>
          <w:fldChar w:fldCharType="separate"/>
        </w:r>
        <w:r w:rsidR="00992B6D">
          <w:rPr>
            <w:noProof/>
            <w:webHidden/>
          </w:rPr>
          <w:t>37</w:t>
        </w:r>
        <w:r w:rsidR="00992B6D">
          <w:rPr>
            <w:noProof/>
            <w:webHidden/>
          </w:rPr>
          <w:fldChar w:fldCharType="end"/>
        </w:r>
      </w:hyperlink>
    </w:p>
    <w:p w14:paraId="334AB304" w14:textId="7875383D" w:rsidR="00992B6D" w:rsidRDefault="00475864">
      <w:pPr>
        <w:pStyle w:val="TOC4"/>
        <w:tabs>
          <w:tab w:val="right" w:leader="dot" w:pos="5030"/>
        </w:tabs>
        <w:rPr>
          <w:rFonts w:eastAsiaTheme="minorEastAsia"/>
          <w:smallCaps w:val="0"/>
          <w:noProof/>
          <w:sz w:val="22"/>
          <w:lang w:val="en-US" w:eastAsia="en-US" w:bidi="ar-SA"/>
        </w:rPr>
      </w:pPr>
      <w:hyperlink w:anchor="_Toc25746695" w:history="1">
        <w:r w:rsidR="00992B6D" w:rsidRPr="005146B0">
          <w:rPr>
            <w:rStyle w:val="Hyperlink"/>
            <w:noProof/>
          </w:rPr>
          <w:t>Data Lake Analytics</w:t>
        </w:r>
        <w:r w:rsidR="00992B6D">
          <w:rPr>
            <w:noProof/>
            <w:webHidden/>
          </w:rPr>
          <w:tab/>
        </w:r>
        <w:r w:rsidR="00992B6D">
          <w:rPr>
            <w:noProof/>
            <w:webHidden/>
          </w:rPr>
          <w:fldChar w:fldCharType="begin"/>
        </w:r>
        <w:r w:rsidR="00992B6D">
          <w:rPr>
            <w:noProof/>
            <w:webHidden/>
          </w:rPr>
          <w:instrText xml:space="preserve"> PAGEREF _Toc25746695 \h </w:instrText>
        </w:r>
        <w:r w:rsidR="00992B6D">
          <w:rPr>
            <w:noProof/>
            <w:webHidden/>
          </w:rPr>
        </w:r>
        <w:r w:rsidR="00992B6D">
          <w:rPr>
            <w:noProof/>
            <w:webHidden/>
          </w:rPr>
          <w:fldChar w:fldCharType="separate"/>
        </w:r>
        <w:r w:rsidR="00992B6D">
          <w:rPr>
            <w:noProof/>
            <w:webHidden/>
          </w:rPr>
          <w:t>37</w:t>
        </w:r>
        <w:r w:rsidR="00992B6D">
          <w:rPr>
            <w:noProof/>
            <w:webHidden/>
          </w:rPr>
          <w:fldChar w:fldCharType="end"/>
        </w:r>
      </w:hyperlink>
    </w:p>
    <w:p w14:paraId="53C269A8" w14:textId="6BFE073C" w:rsidR="00992B6D" w:rsidRDefault="00475864">
      <w:pPr>
        <w:pStyle w:val="TOC4"/>
        <w:tabs>
          <w:tab w:val="right" w:leader="dot" w:pos="5030"/>
        </w:tabs>
        <w:rPr>
          <w:rFonts w:eastAsiaTheme="minorEastAsia"/>
          <w:smallCaps w:val="0"/>
          <w:noProof/>
          <w:sz w:val="22"/>
          <w:lang w:val="en-US" w:eastAsia="en-US" w:bidi="ar-SA"/>
        </w:rPr>
      </w:pPr>
      <w:hyperlink w:anchor="_Toc25746696" w:history="1">
        <w:r w:rsidR="00992B6D" w:rsidRPr="005146B0">
          <w:rPr>
            <w:rStyle w:val="Hyperlink"/>
            <w:noProof/>
          </w:rPr>
          <w:t>Data Lake Store</w:t>
        </w:r>
        <w:r w:rsidR="00992B6D">
          <w:rPr>
            <w:noProof/>
            <w:webHidden/>
          </w:rPr>
          <w:tab/>
        </w:r>
        <w:r w:rsidR="00992B6D">
          <w:rPr>
            <w:noProof/>
            <w:webHidden/>
          </w:rPr>
          <w:fldChar w:fldCharType="begin"/>
        </w:r>
        <w:r w:rsidR="00992B6D">
          <w:rPr>
            <w:noProof/>
            <w:webHidden/>
          </w:rPr>
          <w:instrText xml:space="preserve"> PAGEREF _Toc25746696 \h </w:instrText>
        </w:r>
        <w:r w:rsidR="00992B6D">
          <w:rPr>
            <w:noProof/>
            <w:webHidden/>
          </w:rPr>
        </w:r>
        <w:r w:rsidR="00992B6D">
          <w:rPr>
            <w:noProof/>
            <w:webHidden/>
          </w:rPr>
          <w:fldChar w:fldCharType="separate"/>
        </w:r>
        <w:r w:rsidR="00992B6D">
          <w:rPr>
            <w:noProof/>
            <w:webHidden/>
          </w:rPr>
          <w:t>37</w:t>
        </w:r>
        <w:r w:rsidR="00992B6D">
          <w:rPr>
            <w:noProof/>
            <w:webHidden/>
          </w:rPr>
          <w:fldChar w:fldCharType="end"/>
        </w:r>
      </w:hyperlink>
    </w:p>
    <w:p w14:paraId="645C3DA0" w14:textId="37B79FCB" w:rsidR="00992B6D" w:rsidRDefault="00475864">
      <w:pPr>
        <w:pStyle w:val="TOC4"/>
        <w:tabs>
          <w:tab w:val="right" w:leader="dot" w:pos="5030"/>
        </w:tabs>
        <w:rPr>
          <w:rFonts w:eastAsiaTheme="minorEastAsia"/>
          <w:smallCaps w:val="0"/>
          <w:noProof/>
          <w:sz w:val="22"/>
          <w:lang w:val="en-US" w:eastAsia="en-US" w:bidi="ar-SA"/>
        </w:rPr>
      </w:pPr>
      <w:hyperlink w:anchor="_Toc25746697" w:history="1">
        <w:r w:rsidR="00992B6D" w:rsidRPr="005146B0">
          <w:rPr>
            <w:rStyle w:val="Hyperlink"/>
            <w:noProof/>
          </w:rPr>
          <w:t>Event Grid</w:t>
        </w:r>
        <w:r w:rsidR="00992B6D">
          <w:rPr>
            <w:noProof/>
            <w:webHidden/>
          </w:rPr>
          <w:tab/>
        </w:r>
        <w:r w:rsidR="00992B6D">
          <w:rPr>
            <w:noProof/>
            <w:webHidden/>
          </w:rPr>
          <w:fldChar w:fldCharType="begin"/>
        </w:r>
        <w:r w:rsidR="00992B6D">
          <w:rPr>
            <w:noProof/>
            <w:webHidden/>
          </w:rPr>
          <w:instrText xml:space="preserve"> PAGEREF _Toc25746697 \h </w:instrText>
        </w:r>
        <w:r w:rsidR="00992B6D">
          <w:rPr>
            <w:noProof/>
            <w:webHidden/>
          </w:rPr>
        </w:r>
        <w:r w:rsidR="00992B6D">
          <w:rPr>
            <w:noProof/>
            <w:webHidden/>
          </w:rPr>
          <w:fldChar w:fldCharType="separate"/>
        </w:r>
        <w:r w:rsidR="00992B6D">
          <w:rPr>
            <w:noProof/>
            <w:webHidden/>
          </w:rPr>
          <w:t>38</w:t>
        </w:r>
        <w:r w:rsidR="00992B6D">
          <w:rPr>
            <w:noProof/>
            <w:webHidden/>
          </w:rPr>
          <w:fldChar w:fldCharType="end"/>
        </w:r>
      </w:hyperlink>
    </w:p>
    <w:p w14:paraId="41B51D09" w14:textId="6FBC5D25" w:rsidR="00992B6D" w:rsidRDefault="00475864">
      <w:pPr>
        <w:pStyle w:val="TOC4"/>
        <w:tabs>
          <w:tab w:val="right" w:leader="dot" w:pos="5030"/>
        </w:tabs>
        <w:rPr>
          <w:rFonts w:eastAsiaTheme="minorEastAsia"/>
          <w:smallCaps w:val="0"/>
          <w:noProof/>
          <w:sz w:val="22"/>
          <w:lang w:val="en-US" w:eastAsia="en-US" w:bidi="ar-SA"/>
        </w:rPr>
      </w:pPr>
      <w:hyperlink w:anchor="_Toc25746698" w:history="1">
        <w:r w:rsidR="00992B6D" w:rsidRPr="005146B0">
          <w:rPr>
            <w:rStyle w:val="Hyperlink"/>
            <w:noProof/>
          </w:rPr>
          <w:t>ExpressRoute</w:t>
        </w:r>
        <w:r w:rsidR="00992B6D">
          <w:rPr>
            <w:noProof/>
            <w:webHidden/>
          </w:rPr>
          <w:tab/>
        </w:r>
        <w:r w:rsidR="00992B6D">
          <w:rPr>
            <w:noProof/>
            <w:webHidden/>
          </w:rPr>
          <w:fldChar w:fldCharType="begin"/>
        </w:r>
        <w:r w:rsidR="00992B6D">
          <w:rPr>
            <w:noProof/>
            <w:webHidden/>
          </w:rPr>
          <w:instrText xml:space="preserve"> PAGEREF _Toc25746698 \h </w:instrText>
        </w:r>
        <w:r w:rsidR="00992B6D">
          <w:rPr>
            <w:noProof/>
            <w:webHidden/>
          </w:rPr>
        </w:r>
        <w:r w:rsidR="00992B6D">
          <w:rPr>
            <w:noProof/>
            <w:webHidden/>
          </w:rPr>
          <w:fldChar w:fldCharType="separate"/>
        </w:r>
        <w:r w:rsidR="00992B6D">
          <w:rPr>
            <w:noProof/>
            <w:webHidden/>
          </w:rPr>
          <w:t>38</w:t>
        </w:r>
        <w:r w:rsidR="00992B6D">
          <w:rPr>
            <w:noProof/>
            <w:webHidden/>
          </w:rPr>
          <w:fldChar w:fldCharType="end"/>
        </w:r>
      </w:hyperlink>
    </w:p>
    <w:p w14:paraId="5C27AA0D" w14:textId="6AE10BFB" w:rsidR="00992B6D" w:rsidRDefault="00475864">
      <w:pPr>
        <w:pStyle w:val="TOC4"/>
        <w:tabs>
          <w:tab w:val="right" w:leader="dot" w:pos="5030"/>
        </w:tabs>
        <w:rPr>
          <w:rFonts w:eastAsiaTheme="minorEastAsia"/>
          <w:smallCaps w:val="0"/>
          <w:noProof/>
          <w:sz w:val="22"/>
          <w:lang w:val="en-US" w:eastAsia="en-US" w:bidi="ar-SA"/>
        </w:rPr>
      </w:pPr>
      <w:hyperlink w:anchor="_Toc25746699" w:history="1">
        <w:r w:rsidR="00992B6D" w:rsidRPr="005146B0">
          <w:rPr>
            <w:rStyle w:val="Hyperlink"/>
            <w:noProof/>
          </w:rPr>
          <w:t>Application de Fonction sur le Plan de Consommation</w:t>
        </w:r>
        <w:r w:rsidR="00992B6D">
          <w:rPr>
            <w:noProof/>
            <w:webHidden/>
          </w:rPr>
          <w:tab/>
        </w:r>
        <w:r w:rsidR="00992B6D">
          <w:rPr>
            <w:noProof/>
            <w:webHidden/>
          </w:rPr>
          <w:fldChar w:fldCharType="begin"/>
        </w:r>
        <w:r w:rsidR="00992B6D">
          <w:rPr>
            <w:noProof/>
            <w:webHidden/>
          </w:rPr>
          <w:instrText xml:space="preserve"> PAGEREF _Toc25746699 \h </w:instrText>
        </w:r>
        <w:r w:rsidR="00992B6D">
          <w:rPr>
            <w:noProof/>
            <w:webHidden/>
          </w:rPr>
        </w:r>
        <w:r w:rsidR="00992B6D">
          <w:rPr>
            <w:noProof/>
            <w:webHidden/>
          </w:rPr>
          <w:fldChar w:fldCharType="separate"/>
        </w:r>
        <w:r w:rsidR="00992B6D">
          <w:rPr>
            <w:noProof/>
            <w:webHidden/>
          </w:rPr>
          <w:t>39</w:t>
        </w:r>
        <w:r w:rsidR="00992B6D">
          <w:rPr>
            <w:noProof/>
            <w:webHidden/>
          </w:rPr>
          <w:fldChar w:fldCharType="end"/>
        </w:r>
      </w:hyperlink>
    </w:p>
    <w:p w14:paraId="78B38F02" w14:textId="55A8CF0B" w:rsidR="00992B6D" w:rsidRDefault="00475864">
      <w:pPr>
        <w:pStyle w:val="TOC4"/>
        <w:tabs>
          <w:tab w:val="right" w:leader="dot" w:pos="5030"/>
        </w:tabs>
        <w:rPr>
          <w:rFonts w:eastAsiaTheme="minorEastAsia"/>
          <w:smallCaps w:val="0"/>
          <w:noProof/>
          <w:sz w:val="22"/>
          <w:lang w:val="en-US" w:eastAsia="en-US" w:bidi="ar-SA"/>
        </w:rPr>
      </w:pPr>
      <w:hyperlink w:anchor="_Toc25746700" w:history="1">
        <w:r w:rsidR="00992B6D" w:rsidRPr="005146B0">
          <w:rPr>
            <w:rStyle w:val="Hyperlink"/>
            <w:noProof/>
          </w:rPr>
          <w:t>Application de Fonction sur le Plan de Service</w:t>
        </w:r>
        <w:r w:rsidR="00992B6D">
          <w:rPr>
            <w:noProof/>
            <w:webHidden/>
          </w:rPr>
          <w:tab/>
        </w:r>
        <w:r w:rsidR="00992B6D">
          <w:rPr>
            <w:noProof/>
            <w:webHidden/>
          </w:rPr>
          <w:fldChar w:fldCharType="begin"/>
        </w:r>
        <w:r w:rsidR="00992B6D">
          <w:rPr>
            <w:noProof/>
            <w:webHidden/>
          </w:rPr>
          <w:instrText xml:space="preserve"> PAGEREF _Toc25746700 \h </w:instrText>
        </w:r>
        <w:r w:rsidR="00992B6D">
          <w:rPr>
            <w:noProof/>
            <w:webHidden/>
          </w:rPr>
        </w:r>
        <w:r w:rsidR="00992B6D">
          <w:rPr>
            <w:noProof/>
            <w:webHidden/>
          </w:rPr>
          <w:fldChar w:fldCharType="separate"/>
        </w:r>
        <w:r w:rsidR="00992B6D">
          <w:rPr>
            <w:noProof/>
            <w:webHidden/>
          </w:rPr>
          <w:t>39</w:t>
        </w:r>
        <w:r w:rsidR="00992B6D">
          <w:rPr>
            <w:noProof/>
            <w:webHidden/>
          </w:rPr>
          <w:fldChar w:fldCharType="end"/>
        </w:r>
      </w:hyperlink>
    </w:p>
    <w:p w14:paraId="1B823B36" w14:textId="59D95682" w:rsidR="00992B6D" w:rsidRDefault="00475864">
      <w:pPr>
        <w:pStyle w:val="TOC4"/>
        <w:tabs>
          <w:tab w:val="right" w:leader="dot" w:pos="5030"/>
        </w:tabs>
        <w:rPr>
          <w:rFonts w:eastAsiaTheme="minorEastAsia"/>
          <w:smallCaps w:val="0"/>
          <w:noProof/>
          <w:sz w:val="22"/>
          <w:lang w:val="en-US" w:eastAsia="en-US" w:bidi="ar-SA"/>
        </w:rPr>
      </w:pPr>
      <w:hyperlink w:anchor="_Toc25746701" w:history="1">
        <w:r w:rsidR="00992B6D" w:rsidRPr="005146B0">
          <w:rPr>
            <w:rStyle w:val="Hyperlink"/>
            <w:noProof/>
            <w:lang w:eastAsia="en-US"/>
          </w:rPr>
          <w:t>HDInsight</w:t>
        </w:r>
        <w:r w:rsidR="00992B6D">
          <w:rPr>
            <w:noProof/>
            <w:webHidden/>
          </w:rPr>
          <w:tab/>
        </w:r>
        <w:r w:rsidR="00992B6D">
          <w:rPr>
            <w:noProof/>
            <w:webHidden/>
          </w:rPr>
          <w:fldChar w:fldCharType="begin"/>
        </w:r>
        <w:r w:rsidR="00992B6D">
          <w:rPr>
            <w:noProof/>
            <w:webHidden/>
          </w:rPr>
          <w:instrText xml:space="preserve"> PAGEREF _Toc25746701 \h </w:instrText>
        </w:r>
        <w:r w:rsidR="00992B6D">
          <w:rPr>
            <w:noProof/>
            <w:webHidden/>
          </w:rPr>
        </w:r>
        <w:r w:rsidR="00992B6D">
          <w:rPr>
            <w:noProof/>
            <w:webHidden/>
          </w:rPr>
          <w:fldChar w:fldCharType="separate"/>
        </w:r>
        <w:r w:rsidR="00992B6D">
          <w:rPr>
            <w:noProof/>
            <w:webHidden/>
          </w:rPr>
          <w:t>40</w:t>
        </w:r>
        <w:r w:rsidR="00992B6D">
          <w:rPr>
            <w:noProof/>
            <w:webHidden/>
          </w:rPr>
          <w:fldChar w:fldCharType="end"/>
        </w:r>
      </w:hyperlink>
    </w:p>
    <w:p w14:paraId="6E264747" w14:textId="7E7D5AED" w:rsidR="00992B6D" w:rsidRDefault="00475864">
      <w:pPr>
        <w:pStyle w:val="TOC4"/>
        <w:tabs>
          <w:tab w:val="right" w:leader="dot" w:pos="5030"/>
        </w:tabs>
        <w:rPr>
          <w:rFonts w:eastAsiaTheme="minorEastAsia"/>
          <w:smallCaps w:val="0"/>
          <w:noProof/>
          <w:sz w:val="22"/>
          <w:lang w:val="en-US" w:eastAsia="en-US" w:bidi="ar-SA"/>
        </w:rPr>
      </w:pPr>
      <w:hyperlink w:anchor="_Toc25746702" w:history="1">
        <w:r w:rsidR="00992B6D" w:rsidRPr="005146B0">
          <w:rPr>
            <w:rStyle w:val="Hyperlink"/>
            <w:noProof/>
          </w:rPr>
          <w:t>HockeyApp</w:t>
        </w:r>
        <w:r w:rsidR="00992B6D">
          <w:rPr>
            <w:noProof/>
            <w:webHidden/>
          </w:rPr>
          <w:tab/>
        </w:r>
        <w:r w:rsidR="00992B6D">
          <w:rPr>
            <w:noProof/>
            <w:webHidden/>
          </w:rPr>
          <w:fldChar w:fldCharType="begin"/>
        </w:r>
        <w:r w:rsidR="00992B6D">
          <w:rPr>
            <w:noProof/>
            <w:webHidden/>
          </w:rPr>
          <w:instrText xml:space="preserve"> PAGEREF _Toc25746702 \h </w:instrText>
        </w:r>
        <w:r w:rsidR="00992B6D">
          <w:rPr>
            <w:noProof/>
            <w:webHidden/>
          </w:rPr>
        </w:r>
        <w:r w:rsidR="00992B6D">
          <w:rPr>
            <w:noProof/>
            <w:webHidden/>
          </w:rPr>
          <w:fldChar w:fldCharType="separate"/>
        </w:r>
        <w:r w:rsidR="00992B6D">
          <w:rPr>
            <w:noProof/>
            <w:webHidden/>
          </w:rPr>
          <w:t>40</w:t>
        </w:r>
        <w:r w:rsidR="00992B6D">
          <w:rPr>
            <w:noProof/>
            <w:webHidden/>
          </w:rPr>
          <w:fldChar w:fldCharType="end"/>
        </w:r>
      </w:hyperlink>
    </w:p>
    <w:p w14:paraId="4D8965A1" w14:textId="0D08EE73" w:rsidR="00992B6D" w:rsidRDefault="00475864">
      <w:pPr>
        <w:pStyle w:val="TOC4"/>
        <w:tabs>
          <w:tab w:val="right" w:leader="dot" w:pos="5030"/>
        </w:tabs>
        <w:rPr>
          <w:rFonts w:eastAsiaTheme="minorEastAsia"/>
          <w:smallCaps w:val="0"/>
          <w:noProof/>
          <w:sz w:val="22"/>
          <w:lang w:val="en-US" w:eastAsia="en-US" w:bidi="ar-SA"/>
        </w:rPr>
      </w:pPr>
      <w:hyperlink w:anchor="_Toc25746703" w:history="1">
        <w:r w:rsidR="00992B6D" w:rsidRPr="005146B0">
          <w:rPr>
            <w:rStyle w:val="Hyperlink"/>
            <w:noProof/>
          </w:rPr>
          <w:t>IoT Central</w:t>
        </w:r>
        <w:r w:rsidR="00992B6D">
          <w:rPr>
            <w:noProof/>
            <w:webHidden/>
          </w:rPr>
          <w:tab/>
        </w:r>
        <w:r w:rsidR="00992B6D">
          <w:rPr>
            <w:noProof/>
            <w:webHidden/>
          </w:rPr>
          <w:fldChar w:fldCharType="begin"/>
        </w:r>
        <w:r w:rsidR="00992B6D">
          <w:rPr>
            <w:noProof/>
            <w:webHidden/>
          </w:rPr>
          <w:instrText xml:space="preserve"> PAGEREF _Toc25746703 \h </w:instrText>
        </w:r>
        <w:r w:rsidR="00992B6D">
          <w:rPr>
            <w:noProof/>
            <w:webHidden/>
          </w:rPr>
        </w:r>
        <w:r w:rsidR="00992B6D">
          <w:rPr>
            <w:noProof/>
            <w:webHidden/>
          </w:rPr>
          <w:fldChar w:fldCharType="separate"/>
        </w:r>
        <w:r w:rsidR="00992B6D">
          <w:rPr>
            <w:noProof/>
            <w:webHidden/>
          </w:rPr>
          <w:t>40</w:t>
        </w:r>
        <w:r w:rsidR="00992B6D">
          <w:rPr>
            <w:noProof/>
            <w:webHidden/>
          </w:rPr>
          <w:fldChar w:fldCharType="end"/>
        </w:r>
      </w:hyperlink>
    </w:p>
    <w:p w14:paraId="2B0CAEA0" w14:textId="10FAEAAD" w:rsidR="00992B6D" w:rsidRDefault="00475864">
      <w:pPr>
        <w:pStyle w:val="TOC4"/>
        <w:tabs>
          <w:tab w:val="right" w:leader="dot" w:pos="5030"/>
        </w:tabs>
        <w:rPr>
          <w:rFonts w:eastAsiaTheme="minorEastAsia"/>
          <w:smallCaps w:val="0"/>
          <w:noProof/>
          <w:sz w:val="22"/>
          <w:lang w:val="en-US" w:eastAsia="en-US" w:bidi="ar-SA"/>
        </w:rPr>
      </w:pPr>
      <w:hyperlink w:anchor="_Toc25746704" w:history="1">
        <w:r w:rsidR="00992B6D" w:rsidRPr="005146B0">
          <w:rPr>
            <w:rStyle w:val="Hyperlink"/>
            <w:noProof/>
          </w:rPr>
          <w:t>IoT hub</w:t>
        </w:r>
        <w:r w:rsidR="00992B6D">
          <w:rPr>
            <w:noProof/>
            <w:webHidden/>
          </w:rPr>
          <w:tab/>
        </w:r>
        <w:r w:rsidR="00992B6D">
          <w:rPr>
            <w:noProof/>
            <w:webHidden/>
          </w:rPr>
          <w:fldChar w:fldCharType="begin"/>
        </w:r>
        <w:r w:rsidR="00992B6D">
          <w:rPr>
            <w:noProof/>
            <w:webHidden/>
          </w:rPr>
          <w:instrText xml:space="preserve"> PAGEREF _Toc25746704 \h </w:instrText>
        </w:r>
        <w:r w:rsidR="00992B6D">
          <w:rPr>
            <w:noProof/>
            <w:webHidden/>
          </w:rPr>
        </w:r>
        <w:r w:rsidR="00992B6D">
          <w:rPr>
            <w:noProof/>
            <w:webHidden/>
          </w:rPr>
          <w:fldChar w:fldCharType="separate"/>
        </w:r>
        <w:r w:rsidR="00992B6D">
          <w:rPr>
            <w:noProof/>
            <w:webHidden/>
          </w:rPr>
          <w:t>41</w:t>
        </w:r>
        <w:r w:rsidR="00992B6D">
          <w:rPr>
            <w:noProof/>
            <w:webHidden/>
          </w:rPr>
          <w:fldChar w:fldCharType="end"/>
        </w:r>
      </w:hyperlink>
    </w:p>
    <w:p w14:paraId="20940180" w14:textId="7F870D15" w:rsidR="00992B6D" w:rsidRDefault="00475864">
      <w:pPr>
        <w:pStyle w:val="TOC4"/>
        <w:tabs>
          <w:tab w:val="right" w:leader="dot" w:pos="5030"/>
        </w:tabs>
        <w:rPr>
          <w:rFonts w:eastAsiaTheme="minorEastAsia"/>
          <w:smallCaps w:val="0"/>
          <w:noProof/>
          <w:sz w:val="22"/>
          <w:lang w:val="en-US" w:eastAsia="en-US" w:bidi="ar-SA"/>
        </w:rPr>
      </w:pPr>
      <w:hyperlink w:anchor="_Toc25746705" w:history="1">
        <w:r w:rsidR="00992B6D" w:rsidRPr="005146B0">
          <w:rPr>
            <w:rStyle w:val="Hyperlink"/>
            <w:noProof/>
          </w:rPr>
          <w:t>Key Vault</w:t>
        </w:r>
        <w:r w:rsidR="00992B6D">
          <w:rPr>
            <w:noProof/>
            <w:webHidden/>
          </w:rPr>
          <w:tab/>
        </w:r>
        <w:r w:rsidR="00992B6D">
          <w:rPr>
            <w:noProof/>
            <w:webHidden/>
          </w:rPr>
          <w:fldChar w:fldCharType="begin"/>
        </w:r>
        <w:r w:rsidR="00992B6D">
          <w:rPr>
            <w:noProof/>
            <w:webHidden/>
          </w:rPr>
          <w:instrText xml:space="preserve"> PAGEREF _Toc25746705 \h </w:instrText>
        </w:r>
        <w:r w:rsidR="00992B6D">
          <w:rPr>
            <w:noProof/>
            <w:webHidden/>
          </w:rPr>
        </w:r>
        <w:r w:rsidR="00992B6D">
          <w:rPr>
            <w:noProof/>
            <w:webHidden/>
          </w:rPr>
          <w:fldChar w:fldCharType="separate"/>
        </w:r>
        <w:r w:rsidR="00992B6D">
          <w:rPr>
            <w:noProof/>
            <w:webHidden/>
          </w:rPr>
          <w:t>41</w:t>
        </w:r>
        <w:r w:rsidR="00992B6D">
          <w:rPr>
            <w:noProof/>
            <w:webHidden/>
          </w:rPr>
          <w:fldChar w:fldCharType="end"/>
        </w:r>
      </w:hyperlink>
    </w:p>
    <w:p w14:paraId="690A4904" w14:textId="20DAE4C2" w:rsidR="00992B6D" w:rsidRDefault="00475864">
      <w:pPr>
        <w:pStyle w:val="TOC4"/>
        <w:tabs>
          <w:tab w:val="right" w:leader="dot" w:pos="5030"/>
        </w:tabs>
        <w:rPr>
          <w:rFonts w:eastAsiaTheme="minorEastAsia"/>
          <w:smallCaps w:val="0"/>
          <w:noProof/>
          <w:sz w:val="22"/>
          <w:lang w:val="en-US" w:eastAsia="en-US" w:bidi="ar-SA"/>
        </w:rPr>
      </w:pPr>
      <w:hyperlink w:anchor="_Toc25746706" w:history="1">
        <w:r w:rsidR="00992B6D" w:rsidRPr="005146B0">
          <w:rPr>
            <w:rStyle w:val="Hyperlink"/>
            <w:noProof/>
          </w:rPr>
          <w:t>Log Analytics (SLA Disponibilité des Requêtes)</w:t>
        </w:r>
        <w:r w:rsidR="00992B6D">
          <w:rPr>
            <w:noProof/>
            <w:webHidden/>
          </w:rPr>
          <w:tab/>
        </w:r>
        <w:r w:rsidR="00992B6D">
          <w:rPr>
            <w:noProof/>
            <w:webHidden/>
          </w:rPr>
          <w:fldChar w:fldCharType="begin"/>
        </w:r>
        <w:r w:rsidR="00992B6D">
          <w:rPr>
            <w:noProof/>
            <w:webHidden/>
          </w:rPr>
          <w:instrText xml:space="preserve"> PAGEREF _Toc25746706 \h </w:instrText>
        </w:r>
        <w:r w:rsidR="00992B6D">
          <w:rPr>
            <w:noProof/>
            <w:webHidden/>
          </w:rPr>
        </w:r>
        <w:r w:rsidR="00992B6D">
          <w:rPr>
            <w:noProof/>
            <w:webHidden/>
          </w:rPr>
          <w:fldChar w:fldCharType="separate"/>
        </w:r>
        <w:r w:rsidR="00992B6D">
          <w:rPr>
            <w:noProof/>
            <w:webHidden/>
          </w:rPr>
          <w:t>42</w:t>
        </w:r>
        <w:r w:rsidR="00992B6D">
          <w:rPr>
            <w:noProof/>
            <w:webHidden/>
          </w:rPr>
          <w:fldChar w:fldCharType="end"/>
        </w:r>
      </w:hyperlink>
    </w:p>
    <w:p w14:paraId="4A9FFD2A" w14:textId="374823AA" w:rsidR="00992B6D" w:rsidRDefault="00475864">
      <w:pPr>
        <w:pStyle w:val="TOC4"/>
        <w:tabs>
          <w:tab w:val="right" w:leader="dot" w:pos="5030"/>
        </w:tabs>
        <w:rPr>
          <w:rFonts w:eastAsiaTheme="minorEastAsia"/>
          <w:smallCaps w:val="0"/>
          <w:noProof/>
          <w:sz w:val="22"/>
          <w:lang w:val="en-US" w:eastAsia="en-US" w:bidi="ar-SA"/>
        </w:rPr>
      </w:pPr>
      <w:hyperlink w:anchor="_Toc25746707" w:history="1">
        <w:r w:rsidR="00992B6D" w:rsidRPr="005146B0">
          <w:rPr>
            <w:rStyle w:val="Hyperlink"/>
            <w:noProof/>
          </w:rPr>
          <w:t>Applications Logiques</w:t>
        </w:r>
        <w:r w:rsidR="00992B6D">
          <w:rPr>
            <w:noProof/>
            <w:webHidden/>
          </w:rPr>
          <w:tab/>
        </w:r>
        <w:r w:rsidR="00992B6D">
          <w:rPr>
            <w:noProof/>
            <w:webHidden/>
          </w:rPr>
          <w:fldChar w:fldCharType="begin"/>
        </w:r>
        <w:r w:rsidR="00992B6D">
          <w:rPr>
            <w:noProof/>
            <w:webHidden/>
          </w:rPr>
          <w:instrText xml:space="preserve"> PAGEREF _Toc25746707 \h </w:instrText>
        </w:r>
        <w:r w:rsidR="00992B6D">
          <w:rPr>
            <w:noProof/>
            <w:webHidden/>
          </w:rPr>
        </w:r>
        <w:r w:rsidR="00992B6D">
          <w:rPr>
            <w:noProof/>
            <w:webHidden/>
          </w:rPr>
          <w:fldChar w:fldCharType="separate"/>
        </w:r>
        <w:r w:rsidR="00992B6D">
          <w:rPr>
            <w:noProof/>
            <w:webHidden/>
          </w:rPr>
          <w:t>42</w:t>
        </w:r>
        <w:r w:rsidR="00992B6D">
          <w:rPr>
            <w:noProof/>
            <w:webHidden/>
          </w:rPr>
          <w:fldChar w:fldCharType="end"/>
        </w:r>
      </w:hyperlink>
    </w:p>
    <w:p w14:paraId="76BFFE82" w14:textId="77A5909A" w:rsidR="00992B6D" w:rsidRDefault="00475864">
      <w:pPr>
        <w:pStyle w:val="TOC4"/>
        <w:tabs>
          <w:tab w:val="right" w:leader="dot" w:pos="5030"/>
        </w:tabs>
        <w:rPr>
          <w:rFonts w:eastAsiaTheme="minorEastAsia"/>
          <w:smallCaps w:val="0"/>
          <w:noProof/>
          <w:sz w:val="22"/>
          <w:lang w:val="en-US" w:eastAsia="en-US" w:bidi="ar-SA"/>
        </w:rPr>
      </w:pPr>
      <w:hyperlink w:anchor="_Toc25746708" w:history="1">
        <w:r w:rsidR="00992B6D" w:rsidRPr="005146B0">
          <w:rPr>
            <w:rStyle w:val="Hyperlink"/>
            <w:noProof/>
          </w:rPr>
          <w:t>Azure Machine Learning Studio – Service BES (Batch Execution Service) et Service API de Gestion</w:t>
        </w:r>
        <w:r w:rsidR="00992B6D">
          <w:rPr>
            <w:noProof/>
            <w:webHidden/>
          </w:rPr>
          <w:tab/>
        </w:r>
        <w:r w:rsidR="00992B6D">
          <w:rPr>
            <w:noProof/>
            <w:webHidden/>
          </w:rPr>
          <w:fldChar w:fldCharType="begin"/>
        </w:r>
        <w:r w:rsidR="00992B6D">
          <w:rPr>
            <w:noProof/>
            <w:webHidden/>
          </w:rPr>
          <w:instrText xml:space="preserve"> PAGEREF _Toc25746708 \h </w:instrText>
        </w:r>
        <w:r w:rsidR="00992B6D">
          <w:rPr>
            <w:noProof/>
            <w:webHidden/>
          </w:rPr>
        </w:r>
        <w:r w:rsidR="00992B6D">
          <w:rPr>
            <w:noProof/>
            <w:webHidden/>
          </w:rPr>
          <w:fldChar w:fldCharType="separate"/>
        </w:r>
        <w:r w:rsidR="00992B6D">
          <w:rPr>
            <w:noProof/>
            <w:webHidden/>
          </w:rPr>
          <w:t>43</w:t>
        </w:r>
        <w:r w:rsidR="00992B6D">
          <w:rPr>
            <w:noProof/>
            <w:webHidden/>
          </w:rPr>
          <w:fldChar w:fldCharType="end"/>
        </w:r>
      </w:hyperlink>
    </w:p>
    <w:p w14:paraId="3E93C1A7" w14:textId="05A0CC56" w:rsidR="00992B6D" w:rsidRDefault="00475864">
      <w:pPr>
        <w:pStyle w:val="TOC4"/>
        <w:tabs>
          <w:tab w:val="right" w:leader="dot" w:pos="5030"/>
        </w:tabs>
        <w:rPr>
          <w:rFonts w:eastAsiaTheme="minorEastAsia"/>
          <w:smallCaps w:val="0"/>
          <w:noProof/>
          <w:sz w:val="22"/>
          <w:lang w:val="en-US" w:eastAsia="en-US" w:bidi="ar-SA"/>
        </w:rPr>
      </w:pPr>
      <w:hyperlink w:anchor="_Toc25746709" w:history="1">
        <w:r w:rsidR="00992B6D" w:rsidRPr="005146B0">
          <w:rPr>
            <w:rStyle w:val="Hyperlink"/>
            <w:noProof/>
          </w:rPr>
          <w:t>Azure Machine Learning Studio – Service RSS (Request Response Service)</w:t>
        </w:r>
        <w:r w:rsidR="00992B6D">
          <w:rPr>
            <w:noProof/>
            <w:webHidden/>
          </w:rPr>
          <w:tab/>
        </w:r>
        <w:r w:rsidR="00992B6D">
          <w:rPr>
            <w:noProof/>
            <w:webHidden/>
          </w:rPr>
          <w:fldChar w:fldCharType="begin"/>
        </w:r>
        <w:r w:rsidR="00992B6D">
          <w:rPr>
            <w:noProof/>
            <w:webHidden/>
          </w:rPr>
          <w:instrText xml:space="preserve"> PAGEREF _Toc25746709 \h </w:instrText>
        </w:r>
        <w:r w:rsidR="00992B6D">
          <w:rPr>
            <w:noProof/>
            <w:webHidden/>
          </w:rPr>
        </w:r>
        <w:r w:rsidR="00992B6D">
          <w:rPr>
            <w:noProof/>
            <w:webHidden/>
          </w:rPr>
          <w:fldChar w:fldCharType="separate"/>
        </w:r>
        <w:r w:rsidR="00992B6D">
          <w:rPr>
            <w:noProof/>
            <w:webHidden/>
          </w:rPr>
          <w:t>43</w:t>
        </w:r>
        <w:r w:rsidR="00992B6D">
          <w:rPr>
            <w:noProof/>
            <w:webHidden/>
          </w:rPr>
          <w:fldChar w:fldCharType="end"/>
        </w:r>
      </w:hyperlink>
    </w:p>
    <w:p w14:paraId="45790A65" w14:textId="7976ECAA" w:rsidR="00992B6D" w:rsidRDefault="00475864">
      <w:pPr>
        <w:pStyle w:val="TOC4"/>
        <w:tabs>
          <w:tab w:val="right" w:leader="dot" w:pos="5030"/>
        </w:tabs>
        <w:rPr>
          <w:rFonts w:eastAsiaTheme="minorEastAsia"/>
          <w:smallCaps w:val="0"/>
          <w:noProof/>
          <w:sz w:val="22"/>
          <w:lang w:val="en-US" w:eastAsia="en-US" w:bidi="ar-SA"/>
        </w:rPr>
      </w:pPr>
      <w:hyperlink w:anchor="_Toc25746710" w:history="1">
        <w:r w:rsidR="00992B6D" w:rsidRPr="005146B0">
          <w:rPr>
            <w:rStyle w:val="Hyperlink"/>
            <w:noProof/>
          </w:rPr>
          <w:t>Media Services – Service Content Protection</w:t>
        </w:r>
        <w:r w:rsidR="00992B6D">
          <w:rPr>
            <w:noProof/>
            <w:webHidden/>
          </w:rPr>
          <w:tab/>
        </w:r>
        <w:r w:rsidR="00992B6D">
          <w:rPr>
            <w:noProof/>
            <w:webHidden/>
          </w:rPr>
          <w:fldChar w:fldCharType="begin"/>
        </w:r>
        <w:r w:rsidR="00992B6D">
          <w:rPr>
            <w:noProof/>
            <w:webHidden/>
          </w:rPr>
          <w:instrText xml:space="preserve"> PAGEREF _Toc25746710 \h </w:instrText>
        </w:r>
        <w:r w:rsidR="00992B6D">
          <w:rPr>
            <w:noProof/>
            <w:webHidden/>
          </w:rPr>
        </w:r>
        <w:r w:rsidR="00992B6D">
          <w:rPr>
            <w:noProof/>
            <w:webHidden/>
          </w:rPr>
          <w:fldChar w:fldCharType="separate"/>
        </w:r>
        <w:r w:rsidR="00992B6D">
          <w:rPr>
            <w:noProof/>
            <w:webHidden/>
          </w:rPr>
          <w:t>44</w:t>
        </w:r>
        <w:r w:rsidR="00992B6D">
          <w:rPr>
            <w:noProof/>
            <w:webHidden/>
          </w:rPr>
          <w:fldChar w:fldCharType="end"/>
        </w:r>
      </w:hyperlink>
    </w:p>
    <w:p w14:paraId="4F909FA7" w14:textId="22F9E969" w:rsidR="00992B6D" w:rsidRDefault="00475864">
      <w:pPr>
        <w:pStyle w:val="TOC4"/>
        <w:tabs>
          <w:tab w:val="right" w:leader="dot" w:pos="5030"/>
        </w:tabs>
        <w:rPr>
          <w:rFonts w:eastAsiaTheme="minorEastAsia"/>
          <w:smallCaps w:val="0"/>
          <w:noProof/>
          <w:sz w:val="22"/>
          <w:lang w:val="en-US" w:eastAsia="en-US" w:bidi="ar-SA"/>
        </w:rPr>
      </w:pPr>
      <w:hyperlink w:anchor="_Toc25746711" w:history="1">
        <w:r w:rsidR="00992B6D" w:rsidRPr="005146B0">
          <w:rPr>
            <w:rStyle w:val="Hyperlink"/>
            <w:noProof/>
            <w:lang w:eastAsia="en-US"/>
          </w:rPr>
          <w:t>Media Services – Service d’Encodage</w:t>
        </w:r>
        <w:r w:rsidR="00992B6D">
          <w:rPr>
            <w:noProof/>
            <w:webHidden/>
          </w:rPr>
          <w:tab/>
        </w:r>
        <w:r w:rsidR="00992B6D">
          <w:rPr>
            <w:noProof/>
            <w:webHidden/>
          </w:rPr>
          <w:fldChar w:fldCharType="begin"/>
        </w:r>
        <w:r w:rsidR="00992B6D">
          <w:rPr>
            <w:noProof/>
            <w:webHidden/>
          </w:rPr>
          <w:instrText xml:space="preserve"> PAGEREF _Toc25746711 \h </w:instrText>
        </w:r>
        <w:r w:rsidR="00992B6D">
          <w:rPr>
            <w:noProof/>
            <w:webHidden/>
          </w:rPr>
        </w:r>
        <w:r w:rsidR="00992B6D">
          <w:rPr>
            <w:noProof/>
            <w:webHidden/>
          </w:rPr>
          <w:fldChar w:fldCharType="separate"/>
        </w:r>
        <w:r w:rsidR="00992B6D">
          <w:rPr>
            <w:noProof/>
            <w:webHidden/>
          </w:rPr>
          <w:t>44</w:t>
        </w:r>
        <w:r w:rsidR="00992B6D">
          <w:rPr>
            <w:noProof/>
            <w:webHidden/>
          </w:rPr>
          <w:fldChar w:fldCharType="end"/>
        </w:r>
      </w:hyperlink>
    </w:p>
    <w:p w14:paraId="7A49B723" w14:textId="15B17445" w:rsidR="00992B6D" w:rsidRDefault="00475864">
      <w:pPr>
        <w:pStyle w:val="TOC4"/>
        <w:tabs>
          <w:tab w:val="right" w:leader="dot" w:pos="5030"/>
        </w:tabs>
        <w:rPr>
          <w:rFonts w:eastAsiaTheme="minorEastAsia"/>
          <w:smallCaps w:val="0"/>
          <w:noProof/>
          <w:sz w:val="22"/>
          <w:lang w:val="en-US" w:eastAsia="en-US" w:bidi="ar-SA"/>
        </w:rPr>
      </w:pPr>
      <w:hyperlink w:anchor="_Toc25746712" w:history="1">
        <w:r w:rsidR="00992B6D" w:rsidRPr="005146B0">
          <w:rPr>
            <w:rStyle w:val="Hyperlink"/>
            <w:noProof/>
            <w:lang w:val="es-ES_tradnl"/>
          </w:rPr>
          <w:t>Media Services – Service Media Indexer</w:t>
        </w:r>
        <w:r w:rsidR="00992B6D">
          <w:rPr>
            <w:noProof/>
            <w:webHidden/>
          </w:rPr>
          <w:tab/>
        </w:r>
        <w:r w:rsidR="00992B6D">
          <w:rPr>
            <w:noProof/>
            <w:webHidden/>
          </w:rPr>
          <w:fldChar w:fldCharType="begin"/>
        </w:r>
        <w:r w:rsidR="00992B6D">
          <w:rPr>
            <w:noProof/>
            <w:webHidden/>
          </w:rPr>
          <w:instrText xml:space="preserve"> PAGEREF _Toc25746712 \h </w:instrText>
        </w:r>
        <w:r w:rsidR="00992B6D">
          <w:rPr>
            <w:noProof/>
            <w:webHidden/>
          </w:rPr>
        </w:r>
        <w:r w:rsidR="00992B6D">
          <w:rPr>
            <w:noProof/>
            <w:webHidden/>
          </w:rPr>
          <w:fldChar w:fldCharType="separate"/>
        </w:r>
        <w:r w:rsidR="00992B6D">
          <w:rPr>
            <w:noProof/>
            <w:webHidden/>
          </w:rPr>
          <w:t>44</w:t>
        </w:r>
        <w:r w:rsidR="00992B6D">
          <w:rPr>
            <w:noProof/>
            <w:webHidden/>
          </w:rPr>
          <w:fldChar w:fldCharType="end"/>
        </w:r>
      </w:hyperlink>
    </w:p>
    <w:p w14:paraId="7903A203" w14:textId="25397DC0" w:rsidR="00992B6D" w:rsidRDefault="00475864">
      <w:pPr>
        <w:pStyle w:val="TOC4"/>
        <w:tabs>
          <w:tab w:val="right" w:leader="dot" w:pos="5030"/>
        </w:tabs>
        <w:rPr>
          <w:rFonts w:eastAsiaTheme="minorEastAsia"/>
          <w:smallCaps w:val="0"/>
          <w:noProof/>
          <w:sz w:val="22"/>
          <w:lang w:val="en-US" w:eastAsia="en-US" w:bidi="ar-SA"/>
        </w:rPr>
      </w:pPr>
      <w:hyperlink w:anchor="_Toc25746713" w:history="1">
        <w:r w:rsidR="00992B6D" w:rsidRPr="005146B0">
          <w:rPr>
            <w:rStyle w:val="Hyperlink"/>
            <w:noProof/>
          </w:rPr>
          <w:t>Media Services – Canaux en Direct</w:t>
        </w:r>
        <w:r w:rsidR="00992B6D">
          <w:rPr>
            <w:noProof/>
            <w:webHidden/>
          </w:rPr>
          <w:tab/>
        </w:r>
        <w:r w:rsidR="00992B6D">
          <w:rPr>
            <w:noProof/>
            <w:webHidden/>
          </w:rPr>
          <w:fldChar w:fldCharType="begin"/>
        </w:r>
        <w:r w:rsidR="00992B6D">
          <w:rPr>
            <w:noProof/>
            <w:webHidden/>
          </w:rPr>
          <w:instrText xml:space="preserve"> PAGEREF _Toc25746713 \h </w:instrText>
        </w:r>
        <w:r w:rsidR="00992B6D">
          <w:rPr>
            <w:noProof/>
            <w:webHidden/>
          </w:rPr>
        </w:r>
        <w:r w:rsidR="00992B6D">
          <w:rPr>
            <w:noProof/>
            <w:webHidden/>
          </w:rPr>
          <w:fldChar w:fldCharType="separate"/>
        </w:r>
        <w:r w:rsidR="00992B6D">
          <w:rPr>
            <w:noProof/>
            <w:webHidden/>
          </w:rPr>
          <w:t>45</w:t>
        </w:r>
        <w:r w:rsidR="00992B6D">
          <w:rPr>
            <w:noProof/>
            <w:webHidden/>
          </w:rPr>
          <w:fldChar w:fldCharType="end"/>
        </w:r>
      </w:hyperlink>
    </w:p>
    <w:p w14:paraId="1B6B474D" w14:textId="1D66F554" w:rsidR="00992B6D" w:rsidRDefault="00475864">
      <w:pPr>
        <w:pStyle w:val="TOC4"/>
        <w:tabs>
          <w:tab w:val="right" w:leader="dot" w:pos="5030"/>
        </w:tabs>
        <w:rPr>
          <w:rFonts w:eastAsiaTheme="minorEastAsia"/>
          <w:smallCaps w:val="0"/>
          <w:noProof/>
          <w:sz w:val="22"/>
          <w:lang w:val="en-US" w:eastAsia="en-US" w:bidi="ar-SA"/>
        </w:rPr>
      </w:pPr>
      <w:hyperlink w:anchor="_Toc25746714" w:history="1">
        <w:r w:rsidR="00992B6D" w:rsidRPr="005146B0">
          <w:rPr>
            <w:rStyle w:val="Hyperlink"/>
            <w:noProof/>
            <w:lang w:eastAsia="en-US"/>
          </w:rPr>
          <w:t>Media Services – Service de Diffusion</w:t>
        </w:r>
        <w:r w:rsidR="00992B6D">
          <w:rPr>
            <w:noProof/>
            <w:webHidden/>
          </w:rPr>
          <w:tab/>
        </w:r>
        <w:r w:rsidR="00992B6D">
          <w:rPr>
            <w:noProof/>
            <w:webHidden/>
          </w:rPr>
          <w:fldChar w:fldCharType="begin"/>
        </w:r>
        <w:r w:rsidR="00992B6D">
          <w:rPr>
            <w:noProof/>
            <w:webHidden/>
          </w:rPr>
          <w:instrText xml:space="preserve"> PAGEREF _Toc25746714 \h </w:instrText>
        </w:r>
        <w:r w:rsidR="00992B6D">
          <w:rPr>
            <w:noProof/>
            <w:webHidden/>
          </w:rPr>
        </w:r>
        <w:r w:rsidR="00992B6D">
          <w:rPr>
            <w:noProof/>
            <w:webHidden/>
          </w:rPr>
          <w:fldChar w:fldCharType="separate"/>
        </w:r>
        <w:r w:rsidR="00992B6D">
          <w:rPr>
            <w:noProof/>
            <w:webHidden/>
          </w:rPr>
          <w:t>45</w:t>
        </w:r>
        <w:r w:rsidR="00992B6D">
          <w:rPr>
            <w:noProof/>
            <w:webHidden/>
          </w:rPr>
          <w:fldChar w:fldCharType="end"/>
        </w:r>
      </w:hyperlink>
    </w:p>
    <w:p w14:paraId="7D9B1256" w14:textId="3DB92C0E" w:rsidR="00992B6D" w:rsidRDefault="00475864">
      <w:pPr>
        <w:pStyle w:val="TOC4"/>
        <w:tabs>
          <w:tab w:val="right" w:leader="dot" w:pos="5030"/>
        </w:tabs>
        <w:rPr>
          <w:rFonts w:eastAsiaTheme="minorEastAsia"/>
          <w:smallCaps w:val="0"/>
          <w:noProof/>
          <w:sz w:val="22"/>
          <w:lang w:val="en-US" w:eastAsia="en-US" w:bidi="ar-SA"/>
        </w:rPr>
      </w:pPr>
      <w:hyperlink w:anchor="_Toc25746715" w:history="1">
        <w:r w:rsidR="00992B6D" w:rsidRPr="005146B0">
          <w:rPr>
            <w:rStyle w:val="Hyperlink"/>
            <w:noProof/>
            <w:lang w:val="es-ES_tradnl"/>
          </w:rPr>
          <w:t>Media Services – Video Indexer Service</w:t>
        </w:r>
        <w:r w:rsidR="00992B6D">
          <w:rPr>
            <w:noProof/>
            <w:webHidden/>
          </w:rPr>
          <w:tab/>
        </w:r>
        <w:r w:rsidR="00992B6D">
          <w:rPr>
            <w:noProof/>
            <w:webHidden/>
          </w:rPr>
          <w:fldChar w:fldCharType="begin"/>
        </w:r>
        <w:r w:rsidR="00992B6D">
          <w:rPr>
            <w:noProof/>
            <w:webHidden/>
          </w:rPr>
          <w:instrText xml:space="preserve"> PAGEREF _Toc25746715 \h </w:instrText>
        </w:r>
        <w:r w:rsidR="00992B6D">
          <w:rPr>
            <w:noProof/>
            <w:webHidden/>
          </w:rPr>
        </w:r>
        <w:r w:rsidR="00992B6D">
          <w:rPr>
            <w:noProof/>
            <w:webHidden/>
          </w:rPr>
          <w:fldChar w:fldCharType="separate"/>
        </w:r>
        <w:r w:rsidR="00992B6D">
          <w:rPr>
            <w:noProof/>
            <w:webHidden/>
          </w:rPr>
          <w:t>46</w:t>
        </w:r>
        <w:r w:rsidR="00992B6D">
          <w:rPr>
            <w:noProof/>
            <w:webHidden/>
          </w:rPr>
          <w:fldChar w:fldCharType="end"/>
        </w:r>
      </w:hyperlink>
    </w:p>
    <w:p w14:paraId="411B6461" w14:textId="190CFA3F" w:rsidR="00992B6D" w:rsidRDefault="00475864">
      <w:pPr>
        <w:pStyle w:val="TOC4"/>
        <w:tabs>
          <w:tab w:val="right" w:leader="dot" w:pos="5030"/>
        </w:tabs>
        <w:rPr>
          <w:rFonts w:eastAsiaTheme="minorEastAsia"/>
          <w:smallCaps w:val="0"/>
          <w:noProof/>
          <w:sz w:val="22"/>
          <w:lang w:val="en-US" w:eastAsia="en-US" w:bidi="ar-SA"/>
        </w:rPr>
      </w:pPr>
      <w:hyperlink w:anchor="_Toc25746716" w:history="1">
        <w:r w:rsidR="00992B6D" w:rsidRPr="005146B0">
          <w:rPr>
            <w:rStyle w:val="Hyperlink"/>
            <w:noProof/>
          </w:rPr>
          <w:t>Microsoft Cognitive Services</w:t>
        </w:r>
        <w:r w:rsidR="00992B6D">
          <w:rPr>
            <w:noProof/>
            <w:webHidden/>
          </w:rPr>
          <w:tab/>
        </w:r>
        <w:r w:rsidR="00992B6D">
          <w:rPr>
            <w:noProof/>
            <w:webHidden/>
          </w:rPr>
          <w:fldChar w:fldCharType="begin"/>
        </w:r>
        <w:r w:rsidR="00992B6D">
          <w:rPr>
            <w:noProof/>
            <w:webHidden/>
          </w:rPr>
          <w:instrText xml:space="preserve"> PAGEREF _Toc25746716 \h </w:instrText>
        </w:r>
        <w:r w:rsidR="00992B6D">
          <w:rPr>
            <w:noProof/>
            <w:webHidden/>
          </w:rPr>
        </w:r>
        <w:r w:rsidR="00992B6D">
          <w:rPr>
            <w:noProof/>
            <w:webHidden/>
          </w:rPr>
          <w:fldChar w:fldCharType="separate"/>
        </w:r>
        <w:r w:rsidR="00992B6D">
          <w:rPr>
            <w:noProof/>
            <w:webHidden/>
          </w:rPr>
          <w:t>46</w:t>
        </w:r>
        <w:r w:rsidR="00992B6D">
          <w:rPr>
            <w:noProof/>
            <w:webHidden/>
          </w:rPr>
          <w:fldChar w:fldCharType="end"/>
        </w:r>
      </w:hyperlink>
    </w:p>
    <w:p w14:paraId="52E6AFE2" w14:textId="6BBF7FA0" w:rsidR="00992B6D" w:rsidRDefault="00475864">
      <w:pPr>
        <w:pStyle w:val="TOC4"/>
        <w:tabs>
          <w:tab w:val="right" w:leader="dot" w:pos="5030"/>
        </w:tabs>
        <w:rPr>
          <w:rFonts w:eastAsiaTheme="minorEastAsia"/>
          <w:smallCaps w:val="0"/>
          <w:noProof/>
          <w:sz w:val="22"/>
          <w:lang w:val="en-US" w:eastAsia="en-US" w:bidi="ar-SA"/>
        </w:rPr>
      </w:pPr>
      <w:hyperlink w:anchor="_Toc25746717" w:history="1">
        <w:r w:rsidR="00992B6D" w:rsidRPr="005146B0">
          <w:rPr>
            <w:rStyle w:val="Hyperlink"/>
            <w:noProof/>
          </w:rPr>
          <w:t>Microsoft Genomics</w:t>
        </w:r>
        <w:r w:rsidR="00992B6D">
          <w:rPr>
            <w:noProof/>
            <w:webHidden/>
          </w:rPr>
          <w:tab/>
        </w:r>
        <w:r w:rsidR="00992B6D">
          <w:rPr>
            <w:noProof/>
            <w:webHidden/>
          </w:rPr>
          <w:fldChar w:fldCharType="begin"/>
        </w:r>
        <w:r w:rsidR="00992B6D">
          <w:rPr>
            <w:noProof/>
            <w:webHidden/>
          </w:rPr>
          <w:instrText xml:space="preserve"> PAGEREF _Toc25746717 \h </w:instrText>
        </w:r>
        <w:r w:rsidR="00992B6D">
          <w:rPr>
            <w:noProof/>
            <w:webHidden/>
          </w:rPr>
        </w:r>
        <w:r w:rsidR="00992B6D">
          <w:rPr>
            <w:noProof/>
            <w:webHidden/>
          </w:rPr>
          <w:fldChar w:fldCharType="separate"/>
        </w:r>
        <w:r w:rsidR="00992B6D">
          <w:rPr>
            <w:noProof/>
            <w:webHidden/>
          </w:rPr>
          <w:t>47</w:t>
        </w:r>
        <w:r w:rsidR="00992B6D">
          <w:rPr>
            <w:noProof/>
            <w:webHidden/>
          </w:rPr>
          <w:fldChar w:fldCharType="end"/>
        </w:r>
      </w:hyperlink>
    </w:p>
    <w:p w14:paraId="76F6585A" w14:textId="030191E5" w:rsidR="00992B6D" w:rsidRDefault="00475864">
      <w:pPr>
        <w:pStyle w:val="TOC4"/>
        <w:tabs>
          <w:tab w:val="right" w:leader="dot" w:pos="5030"/>
        </w:tabs>
        <w:rPr>
          <w:rFonts w:eastAsiaTheme="minorEastAsia"/>
          <w:smallCaps w:val="0"/>
          <w:noProof/>
          <w:sz w:val="22"/>
          <w:lang w:val="en-US" w:eastAsia="en-US" w:bidi="ar-SA"/>
        </w:rPr>
      </w:pPr>
      <w:hyperlink w:anchor="_Toc25746718" w:history="1">
        <w:r w:rsidR="00992B6D" w:rsidRPr="005146B0">
          <w:rPr>
            <w:rStyle w:val="Hyperlink"/>
            <w:noProof/>
          </w:rPr>
          <w:t>Mobile Engagement</w:t>
        </w:r>
        <w:r w:rsidR="00992B6D">
          <w:rPr>
            <w:noProof/>
            <w:webHidden/>
          </w:rPr>
          <w:tab/>
        </w:r>
        <w:r w:rsidR="00992B6D">
          <w:rPr>
            <w:noProof/>
            <w:webHidden/>
          </w:rPr>
          <w:fldChar w:fldCharType="begin"/>
        </w:r>
        <w:r w:rsidR="00992B6D">
          <w:rPr>
            <w:noProof/>
            <w:webHidden/>
          </w:rPr>
          <w:instrText xml:space="preserve"> PAGEREF _Toc25746718 \h </w:instrText>
        </w:r>
        <w:r w:rsidR="00992B6D">
          <w:rPr>
            <w:noProof/>
            <w:webHidden/>
          </w:rPr>
        </w:r>
        <w:r w:rsidR="00992B6D">
          <w:rPr>
            <w:noProof/>
            <w:webHidden/>
          </w:rPr>
          <w:fldChar w:fldCharType="separate"/>
        </w:r>
        <w:r w:rsidR="00992B6D">
          <w:rPr>
            <w:noProof/>
            <w:webHidden/>
          </w:rPr>
          <w:t>47</w:t>
        </w:r>
        <w:r w:rsidR="00992B6D">
          <w:rPr>
            <w:noProof/>
            <w:webHidden/>
          </w:rPr>
          <w:fldChar w:fldCharType="end"/>
        </w:r>
      </w:hyperlink>
    </w:p>
    <w:p w14:paraId="63A85A12" w14:textId="699EAE8A" w:rsidR="00992B6D" w:rsidRDefault="00475864">
      <w:pPr>
        <w:pStyle w:val="TOC4"/>
        <w:tabs>
          <w:tab w:val="right" w:leader="dot" w:pos="5030"/>
        </w:tabs>
        <w:rPr>
          <w:rFonts w:eastAsiaTheme="minorEastAsia"/>
          <w:smallCaps w:val="0"/>
          <w:noProof/>
          <w:sz w:val="22"/>
          <w:lang w:val="en-US" w:eastAsia="en-US" w:bidi="ar-SA"/>
        </w:rPr>
      </w:pPr>
      <w:hyperlink w:anchor="_Toc25746719" w:history="1">
        <w:r w:rsidR="00992B6D" w:rsidRPr="005146B0">
          <w:rPr>
            <w:rStyle w:val="Hyperlink"/>
            <w:noProof/>
          </w:rPr>
          <w:t>Mobile Services</w:t>
        </w:r>
        <w:r w:rsidR="00992B6D">
          <w:rPr>
            <w:noProof/>
            <w:webHidden/>
          </w:rPr>
          <w:tab/>
        </w:r>
        <w:r w:rsidR="00992B6D">
          <w:rPr>
            <w:noProof/>
            <w:webHidden/>
          </w:rPr>
          <w:fldChar w:fldCharType="begin"/>
        </w:r>
        <w:r w:rsidR="00992B6D">
          <w:rPr>
            <w:noProof/>
            <w:webHidden/>
          </w:rPr>
          <w:instrText xml:space="preserve"> PAGEREF _Toc25746719 \h </w:instrText>
        </w:r>
        <w:r w:rsidR="00992B6D">
          <w:rPr>
            <w:noProof/>
            <w:webHidden/>
          </w:rPr>
        </w:r>
        <w:r w:rsidR="00992B6D">
          <w:rPr>
            <w:noProof/>
            <w:webHidden/>
          </w:rPr>
          <w:fldChar w:fldCharType="separate"/>
        </w:r>
        <w:r w:rsidR="00992B6D">
          <w:rPr>
            <w:noProof/>
            <w:webHidden/>
          </w:rPr>
          <w:t>48</w:t>
        </w:r>
        <w:r w:rsidR="00992B6D">
          <w:rPr>
            <w:noProof/>
            <w:webHidden/>
          </w:rPr>
          <w:fldChar w:fldCharType="end"/>
        </w:r>
      </w:hyperlink>
    </w:p>
    <w:p w14:paraId="4C945B9A" w14:textId="7A14414C" w:rsidR="00992B6D" w:rsidRDefault="00475864">
      <w:pPr>
        <w:pStyle w:val="TOC4"/>
        <w:tabs>
          <w:tab w:val="right" w:leader="dot" w:pos="5030"/>
        </w:tabs>
        <w:rPr>
          <w:rFonts w:eastAsiaTheme="minorEastAsia"/>
          <w:smallCaps w:val="0"/>
          <w:noProof/>
          <w:sz w:val="22"/>
          <w:lang w:val="en-US" w:eastAsia="en-US" w:bidi="ar-SA"/>
        </w:rPr>
      </w:pPr>
      <w:hyperlink w:anchor="_Toc25746720" w:history="1">
        <w:r w:rsidR="00992B6D" w:rsidRPr="005146B0">
          <w:rPr>
            <w:rStyle w:val="Hyperlink"/>
            <w:noProof/>
          </w:rPr>
          <w:t>Network Watcher</w:t>
        </w:r>
        <w:r w:rsidR="00992B6D">
          <w:rPr>
            <w:noProof/>
            <w:webHidden/>
          </w:rPr>
          <w:tab/>
        </w:r>
        <w:r w:rsidR="00992B6D">
          <w:rPr>
            <w:noProof/>
            <w:webHidden/>
          </w:rPr>
          <w:fldChar w:fldCharType="begin"/>
        </w:r>
        <w:r w:rsidR="00992B6D">
          <w:rPr>
            <w:noProof/>
            <w:webHidden/>
          </w:rPr>
          <w:instrText xml:space="preserve"> PAGEREF _Toc25746720 \h </w:instrText>
        </w:r>
        <w:r w:rsidR="00992B6D">
          <w:rPr>
            <w:noProof/>
            <w:webHidden/>
          </w:rPr>
        </w:r>
        <w:r w:rsidR="00992B6D">
          <w:rPr>
            <w:noProof/>
            <w:webHidden/>
          </w:rPr>
          <w:fldChar w:fldCharType="separate"/>
        </w:r>
        <w:r w:rsidR="00992B6D">
          <w:rPr>
            <w:noProof/>
            <w:webHidden/>
          </w:rPr>
          <w:t>48</w:t>
        </w:r>
        <w:r w:rsidR="00992B6D">
          <w:rPr>
            <w:noProof/>
            <w:webHidden/>
          </w:rPr>
          <w:fldChar w:fldCharType="end"/>
        </w:r>
      </w:hyperlink>
    </w:p>
    <w:p w14:paraId="728AEE78" w14:textId="2F67A659" w:rsidR="00992B6D" w:rsidRDefault="00475864">
      <w:pPr>
        <w:pStyle w:val="TOC4"/>
        <w:tabs>
          <w:tab w:val="right" w:leader="dot" w:pos="5030"/>
        </w:tabs>
        <w:rPr>
          <w:rFonts w:eastAsiaTheme="minorEastAsia"/>
          <w:smallCaps w:val="0"/>
          <w:noProof/>
          <w:sz w:val="22"/>
          <w:lang w:val="en-US" w:eastAsia="en-US" w:bidi="ar-SA"/>
        </w:rPr>
      </w:pPr>
      <w:hyperlink w:anchor="_Toc25746721" w:history="1">
        <w:r w:rsidR="00992B6D" w:rsidRPr="005146B0">
          <w:rPr>
            <w:rStyle w:val="Hyperlink"/>
            <w:noProof/>
            <w:lang w:val="en-US" w:eastAsia="en-US"/>
          </w:rPr>
          <w:t>RemoteApp</w:t>
        </w:r>
        <w:r w:rsidR="00992B6D">
          <w:rPr>
            <w:noProof/>
            <w:webHidden/>
          </w:rPr>
          <w:tab/>
        </w:r>
        <w:r w:rsidR="00992B6D">
          <w:rPr>
            <w:noProof/>
            <w:webHidden/>
          </w:rPr>
          <w:fldChar w:fldCharType="begin"/>
        </w:r>
        <w:r w:rsidR="00992B6D">
          <w:rPr>
            <w:noProof/>
            <w:webHidden/>
          </w:rPr>
          <w:instrText xml:space="preserve"> PAGEREF _Toc25746721 \h </w:instrText>
        </w:r>
        <w:r w:rsidR="00992B6D">
          <w:rPr>
            <w:noProof/>
            <w:webHidden/>
          </w:rPr>
        </w:r>
        <w:r w:rsidR="00992B6D">
          <w:rPr>
            <w:noProof/>
            <w:webHidden/>
          </w:rPr>
          <w:fldChar w:fldCharType="separate"/>
        </w:r>
        <w:r w:rsidR="00992B6D">
          <w:rPr>
            <w:noProof/>
            <w:webHidden/>
          </w:rPr>
          <w:t>48</w:t>
        </w:r>
        <w:r w:rsidR="00992B6D">
          <w:rPr>
            <w:noProof/>
            <w:webHidden/>
          </w:rPr>
          <w:fldChar w:fldCharType="end"/>
        </w:r>
      </w:hyperlink>
    </w:p>
    <w:p w14:paraId="56EB7564" w14:textId="0FCD55B3" w:rsidR="00992B6D" w:rsidRDefault="00475864">
      <w:pPr>
        <w:pStyle w:val="TOC4"/>
        <w:tabs>
          <w:tab w:val="right" w:leader="dot" w:pos="5030"/>
        </w:tabs>
        <w:rPr>
          <w:rFonts w:eastAsiaTheme="minorEastAsia"/>
          <w:smallCaps w:val="0"/>
          <w:noProof/>
          <w:sz w:val="22"/>
          <w:lang w:val="en-US" w:eastAsia="en-US" w:bidi="ar-SA"/>
        </w:rPr>
      </w:pPr>
      <w:hyperlink w:anchor="_Toc25746722" w:history="1">
        <w:r w:rsidR="00992B6D" w:rsidRPr="005146B0">
          <w:rPr>
            <w:rStyle w:val="Hyperlink"/>
            <w:noProof/>
          </w:rPr>
          <w:t>SAP HANA on Azure</w:t>
        </w:r>
        <w:r w:rsidR="00992B6D">
          <w:rPr>
            <w:noProof/>
            <w:webHidden/>
          </w:rPr>
          <w:tab/>
        </w:r>
        <w:r w:rsidR="00992B6D">
          <w:rPr>
            <w:noProof/>
            <w:webHidden/>
          </w:rPr>
          <w:fldChar w:fldCharType="begin"/>
        </w:r>
        <w:r w:rsidR="00992B6D">
          <w:rPr>
            <w:noProof/>
            <w:webHidden/>
          </w:rPr>
          <w:instrText xml:space="preserve"> PAGEREF _Toc25746722 \h </w:instrText>
        </w:r>
        <w:r w:rsidR="00992B6D">
          <w:rPr>
            <w:noProof/>
            <w:webHidden/>
          </w:rPr>
        </w:r>
        <w:r w:rsidR="00992B6D">
          <w:rPr>
            <w:noProof/>
            <w:webHidden/>
          </w:rPr>
          <w:fldChar w:fldCharType="separate"/>
        </w:r>
        <w:r w:rsidR="00992B6D">
          <w:rPr>
            <w:noProof/>
            <w:webHidden/>
          </w:rPr>
          <w:t>49</w:t>
        </w:r>
        <w:r w:rsidR="00992B6D">
          <w:rPr>
            <w:noProof/>
            <w:webHidden/>
          </w:rPr>
          <w:fldChar w:fldCharType="end"/>
        </w:r>
      </w:hyperlink>
    </w:p>
    <w:p w14:paraId="22036AA7" w14:textId="460178F2" w:rsidR="00992B6D" w:rsidRDefault="00475864">
      <w:pPr>
        <w:pStyle w:val="TOC4"/>
        <w:tabs>
          <w:tab w:val="right" w:leader="dot" w:pos="5030"/>
        </w:tabs>
        <w:rPr>
          <w:rFonts w:eastAsiaTheme="minorEastAsia"/>
          <w:smallCaps w:val="0"/>
          <w:noProof/>
          <w:sz w:val="22"/>
          <w:lang w:val="en-US" w:eastAsia="en-US" w:bidi="ar-SA"/>
        </w:rPr>
      </w:pPr>
      <w:hyperlink w:anchor="_Toc25746723" w:history="1">
        <w:r w:rsidR="00992B6D" w:rsidRPr="005146B0">
          <w:rPr>
            <w:rStyle w:val="Hyperlink"/>
            <w:noProof/>
            <w:lang w:eastAsia="en-US"/>
          </w:rPr>
          <w:t>Scheduler</w:t>
        </w:r>
        <w:r w:rsidR="00992B6D">
          <w:rPr>
            <w:noProof/>
            <w:webHidden/>
          </w:rPr>
          <w:tab/>
        </w:r>
        <w:r w:rsidR="00992B6D">
          <w:rPr>
            <w:noProof/>
            <w:webHidden/>
          </w:rPr>
          <w:fldChar w:fldCharType="begin"/>
        </w:r>
        <w:r w:rsidR="00992B6D">
          <w:rPr>
            <w:noProof/>
            <w:webHidden/>
          </w:rPr>
          <w:instrText xml:space="preserve"> PAGEREF _Toc25746723 \h </w:instrText>
        </w:r>
        <w:r w:rsidR="00992B6D">
          <w:rPr>
            <w:noProof/>
            <w:webHidden/>
          </w:rPr>
        </w:r>
        <w:r w:rsidR="00992B6D">
          <w:rPr>
            <w:noProof/>
            <w:webHidden/>
          </w:rPr>
          <w:fldChar w:fldCharType="separate"/>
        </w:r>
        <w:r w:rsidR="00992B6D">
          <w:rPr>
            <w:noProof/>
            <w:webHidden/>
          </w:rPr>
          <w:t>50</w:t>
        </w:r>
        <w:r w:rsidR="00992B6D">
          <w:rPr>
            <w:noProof/>
            <w:webHidden/>
          </w:rPr>
          <w:fldChar w:fldCharType="end"/>
        </w:r>
      </w:hyperlink>
    </w:p>
    <w:p w14:paraId="781F3CAA" w14:textId="70B78066" w:rsidR="00992B6D" w:rsidRDefault="00475864">
      <w:pPr>
        <w:pStyle w:val="TOC4"/>
        <w:tabs>
          <w:tab w:val="right" w:leader="dot" w:pos="5030"/>
        </w:tabs>
        <w:rPr>
          <w:rFonts w:eastAsiaTheme="minorEastAsia"/>
          <w:smallCaps w:val="0"/>
          <w:noProof/>
          <w:sz w:val="22"/>
          <w:lang w:val="en-US" w:eastAsia="en-US" w:bidi="ar-SA"/>
        </w:rPr>
      </w:pPr>
      <w:hyperlink w:anchor="_Toc25746724" w:history="1">
        <w:r w:rsidR="00992B6D" w:rsidRPr="005146B0">
          <w:rPr>
            <w:rStyle w:val="Hyperlink"/>
            <w:noProof/>
            <w:lang w:val="en-US" w:eastAsia="en-US"/>
          </w:rPr>
          <w:t>Search</w:t>
        </w:r>
        <w:r w:rsidR="00992B6D">
          <w:rPr>
            <w:noProof/>
            <w:webHidden/>
          </w:rPr>
          <w:tab/>
        </w:r>
        <w:r w:rsidR="00992B6D">
          <w:rPr>
            <w:noProof/>
            <w:webHidden/>
          </w:rPr>
          <w:fldChar w:fldCharType="begin"/>
        </w:r>
        <w:r w:rsidR="00992B6D">
          <w:rPr>
            <w:noProof/>
            <w:webHidden/>
          </w:rPr>
          <w:instrText xml:space="preserve"> PAGEREF _Toc25746724 \h </w:instrText>
        </w:r>
        <w:r w:rsidR="00992B6D">
          <w:rPr>
            <w:noProof/>
            <w:webHidden/>
          </w:rPr>
        </w:r>
        <w:r w:rsidR="00992B6D">
          <w:rPr>
            <w:noProof/>
            <w:webHidden/>
          </w:rPr>
          <w:fldChar w:fldCharType="separate"/>
        </w:r>
        <w:r w:rsidR="00992B6D">
          <w:rPr>
            <w:noProof/>
            <w:webHidden/>
          </w:rPr>
          <w:t>50</w:t>
        </w:r>
        <w:r w:rsidR="00992B6D">
          <w:rPr>
            <w:noProof/>
            <w:webHidden/>
          </w:rPr>
          <w:fldChar w:fldCharType="end"/>
        </w:r>
      </w:hyperlink>
    </w:p>
    <w:p w14:paraId="61674835" w14:textId="44938BBD" w:rsidR="00992B6D" w:rsidRDefault="00475864">
      <w:pPr>
        <w:pStyle w:val="TOC4"/>
        <w:tabs>
          <w:tab w:val="right" w:leader="dot" w:pos="5030"/>
        </w:tabs>
        <w:rPr>
          <w:rFonts w:eastAsiaTheme="minorEastAsia"/>
          <w:smallCaps w:val="0"/>
          <w:noProof/>
          <w:sz w:val="22"/>
          <w:lang w:val="en-US" w:eastAsia="en-US" w:bidi="ar-SA"/>
        </w:rPr>
      </w:pPr>
      <w:hyperlink w:anchor="_Toc25746725" w:history="1">
        <w:r w:rsidR="00992B6D" w:rsidRPr="005146B0">
          <w:rPr>
            <w:rStyle w:val="Hyperlink"/>
            <w:noProof/>
          </w:rPr>
          <w:t>Service Service-Bus - Concentrateurs d’Événement</w:t>
        </w:r>
        <w:r w:rsidR="00992B6D">
          <w:rPr>
            <w:noProof/>
            <w:webHidden/>
          </w:rPr>
          <w:tab/>
        </w:r>
        <w:r w:rsidR="00992B6D">
          <w:rPr>
            <w:noProof/>
            <w:webHidden/>
          </w:rPr>
          <w:fldChar w:fldCharType="begin"/>
        </w:r>
        <w:r w:rsidR="00992B6D">
          <w:rPr>
            <w:noProof/>
            <w:webHidden/>
          </w:rPr>
          <w:instrText xml:space="preserve"> PAGEREF _Toc25746725 \h </w:instrText>
        </w:r>
        <w:r w:rsidR="00992B6D">
          <w:rPr>
            <w:noProof/>
            <w:webHidden/>
          </w:rPr>
        </w:r>
        <w:r w:rsidR="00992B6D">
          <w:rPr>
            <w:noProof/>
            <w:webHidden/>
          </w:rPr>
          <w:fldChar w:fldCharType="separate"/>
        </w:r>
        <w:r w:rsidR="00992B6D">
          <w:rPr>
            <w:noProof/>
            <w:webHidden/>
          </w:rPr>
          <w:t>51</w:t>
        </w:r>
        <w:r w:rsidR="00992B6D">
          <w:rPr>
            <w:noProof/>
            <w:webHidden/>
          </w:rPr>
          <w:fldChar w:fldCharType="end"/>
        </w:r>
      </w:hyperlink>
    </w:p>
    <w:p w14:paraId="5249FC3C" w14:textId="392FCF5A" w:rsidR="00992B6D" w:rsidRDefault="00475864">
      <w:pPr>
        <w:pStyle w:val="TOC4"/>
        <w:tabs>
          <w:tab w:val="right" w:leader="dot" w:pos="5030"/>
        </w:tabs>
        <w:rPr>
          <w:rFonts w:eastAsiaTheme="minorEastAsia"/>
          <w:smallCaps w:val="0"/>
          <w:noProof/>
          <w:sz w:val="22"/>
          <w:lang w:val="en-US" w:eastAsia="en-US" w:bidi="ar-SA"/>
        </w:rPr>
      </w:pPr>
      <w:hyperlink w:anchor="_Toc25746726" w:history="1">
        <w:r w:rsidR="00992B6D" w:rsidRPr="005146B0">
          <w:rPr>
            <w:rStyle w:val="Hyperlink"/>
            <w:noProof/>
          </w:rPr>
          <w:t>Service Service-Bus - Concentrateurs de Notification</w:t>
        </w:r>
        <w:r w:rsidR="00992B6D">
          <w:rPr>
            <w:noProof/>
            <w:webHidden/>
          </w:rPr>
          <w:tab/>
        </w:r>
        <w:r w:rsidR="00992B6D">
          <w:rPr>
            <w:noProof/>
            <w:webHidden/>
          </w:rPr>
          <w:fldChar w:fldCharType="begin"/>
        </w:r>
        <w:r w:rsidR="00992B6D">
          <w:rPr>
            <w:noProof/>
            <w:webHidden/>
          </w:rPr>
          <w:instrText xml:space="preserve"> PAGEREF _Toc25746726 \h </w:instrText>
        </w:r>
        <w:r w:rsidR="00992B6D">
          <w:rPr>
            <w:noProof/>
            <w:webHidden/>
          </w:rPr>
        </w:r>
        <w:r w:rsidR="00992B6D">
          <w:rPr>
            <w:noProof/>
            <w:webHidden/>
          </w:rPr>
          <w:fldChar w:fldCharType="separate"/>
        </w:r>
        <w:r w:rsidR="00992B6D">
          <w:rPr>
            <w:noProof/>
            <w:webHidden/>
          </w:rPr>
          <w:t>52</w:t>
        </w:r>
        <w:r w:rsidR="00992B6D">
          <w:rPr>
            <w:noProof/>
            <w:webHidden/>
          </w:rPr>
          <w:fldChar w:fldCharType="end"/>
        </w:r>
      </w:hyperlink>
    </w:p>
    <w:p w14:paraId="7B5E619C" w14:textId="3C6CDF29" w:rsidR="00992B6D" w:rsidRDefault="00475864">
      <w:pPr>
        <w:pStyle w:val="TOC4"/>
        <w:tabs>
          <w:tab w:val="right" w:leader="dot" w:pos="5030"/>
        </w:tabs>
        <w:rPr>
          <w:rFonts w:eastAsiaTheme="minorEastAsia"/>
          <w:smallCaps w:val="0"/>
          <w:noProof/>
          <w:sz w:val="22"/>
          <w:lang w:val="en-US" w:eastAsia="en-US" w:bidi="ar-SA"/>
        </w:rPr>
      </w:pPr>
      <w:hyperlink w:anchor="_Toc25746727" w:history="1">
        <w:r w:rsidR="00992B6D" w:rsidRPr="005146B0">
          <w:rPr>
            <w:rStyle w:val="Hyperlink"/>
            <w:noProof/>
          </w:rPr>
          <w:t>Service Service-Bus - Files d’Attente et Rubriques</w:t>
        </w:r>
        <w:r w:rsidR="00992B6D">
          <w:rPr>
            <w:noProof/>
            <w:webHidden/>
          </w:rPr>
          <w:tab/>
        </w:r>
        <w:r w:rsidR="00992B6D">
          <w:rPr>
            <w:noProof/>
            <w:webHidden/>
          </w:rPr>
          <w:fldChar w:fldCharType="begin"/>
        </w:r>
        <w:r w:rsidR="00992B6D">
          <w:rPr>
            <w:noProof/>
            <w:webHidden/>
          </w:rPr>
          <w:instrText xml:space="preserve"> PAGEREF _Toc25746727 \h </w:instrText>
        </w:r>
        <w:r w:rsidR="00992B6D">
          <w:rPr>
            <w:noProof/>
            <w:webHidden/>
          </w:rPr>
        </w:r>
        <w:r w:rsidR="00992B6D">
          <w:rPr>
            <w:noProof/>
            <w:webHidden/>
          </w:rPr>
          <w:fldChar w:fldCharType="separate"/>
        </w:r>
        <w:r w:rsidR="00992B6D">
          <w:rPr>
            <w:noProof/>
            <w:webHidden/>
          </w:rPr>
          <w:t>52</w:t>
        </w:r>
        <w:r w:rsidR="00992B6D">
          <w:rPr>
            <w:noProof/>
            <w:webHidden/>
          </w:rPr>
          <w:fldChar w:fldCharType="end"/>
        </w:r>
      </w:hyperlink>
    </w:p>
    <w:p w14:paraId="6ED39960" w14:textId="5C4BF006" w:rsidR="00992B6D" w:rsidRDefault="00475864">
      <w:pPr>
        <w:pStyle w:val="TOC4"/>
        <w:tabs>
          <w:tab w:val="right" w:leader="dot" w:pos="5030"/>
        </w:tabs>
        <w:rPr>
          <w:rFonts w:eastAsiaTheme="minorEastAsia"/>
          <w:smallCaps w:val="0"/>
          <w:noProof/>
          <w:sz w:val="22"/>
          <w:lang w:val="en-US" w:eastAsia="en-US" w:bidi="ar-SA"/>
        </w:rPr>
      </w:pPr>
      <w:hyperlink w:anchor="_Toc25746728" w:history="1">
        <w:r w:rsidR="00992B6D" w:rsidRPr="005146B0">
          <w:rPr>
            <w:rStyle w:val="Hyperlink"/>
            <w:noProof/>
          </w:rPr>
          <w:t>Service Service-Bus – Relais</w:t>
        </w:r>
        <w:r w:rsidR="00992B6D">
          <w:rPr>
            <w:noProof/>
            <w:webHidden/>
          </w:rPr>
          <w:tab/>
        </w:r>
        <w:r w:rsidR="00992B6D">
          <w:rPr>
            <w:noProof/>
            <w:webHidden/>
          </w:rPr>
          <w:fldChar w:fldCharType="begin"/>
        </w:r>
        <w:r w:rsidR="00992B6D">
          <w:rPr>
            <w:noProof/>
            <w:webHidden/>
          </w:rPr>
          <w:instrText xml:space="preserve"> PAGEREF _Toc25746728 \h </w:instrText>
        </w:r>
        <w:r w:rsidR="00992B6D">
          <w:rPr>
            <w:noProof/>
            <w:webHidden/>
          </w:rPr>
        </w:r>
        <w:r w:rsidR="00992B6D">
          <w:rPr>
            <w:noProof/>
            <w:webHidden/>
          </w:rPr>
          <w:fldChar w:fldCharType="separate"/>
        </w:r>
        <w:r w:rsidR="00992B6D">
          <w:rPr>
            <w:noProof/>
            <w:webHidden/>
          </w:rPr>
          <w:t>53</w:t>
        </w:r>
        <w:r w:rsidR="00992B6D">
          <w:rPr>
            <w:noProof/>
            <w:webHidden/>
          </w:rPr>
          <w:fldChar w:fldCharType="end"/>
        </w:r>
      </w:hyperlink>
    </w:p>
    <w:p w14:paraId="46AFF3E2" w14:textId="7DA04B7E" w:rsidR="00992B6D" w:rsidRDefault="00475864">
      <w:pPr>
        <w:pStyle w:val="TOC4"/>
        <w:tabs>
          <w:tab w:val="right" w:leader="dot" w:pos="5030"/>
        </w:tabs>
        <w:rPr>
          <w:rFonts w:eastAsiaTheme="minorEastAsia"/>
          <w:smallCaps w:val="0"/>
          <w:noProof/>
          <w:sz w:val="22"/>
          <w:lang w:val="en-US" w:eastAsia="en-US" w:bidi="ar-SA"/>
        </w:rPr>
      </w:pPr>
      <w:hyperlink w:anchor="_Toc25746729" w:history="1">
        <w:r w:rsidR="00992B6D" w:rsidRPr="005146B0">
          <w:rPr>
            <w:rStyle w:val="Hyperlink"/>
            <w:noProof/>
          </w:rPr>
          <w:t>Service SignalR</w:t>
        </w:r>
        <w:r w:rsidR="00992B6D">
          <w:rPr>
            <w:noProof/>
            <w:webHidden/>
          </w:rPr>
          <w:tab/>
        </w:r>
        <w:r w:rsidR="00992B6D">
          <w:rPr>
            <w:noProof/>
            <w:webHidden/>
          </w:rPr>
          <w:fldChar w:fldCharType="begin"/>
        </w:r>
        <w:r w:rsidR="00992B6D">
          <w:rPr>
            <w:noProof/>
            <w:webHidden/>
          </w:rPr>
          <w:instrText xml:space="preserve"> PAGEREF _Toc25746729 \h </w:instrText>
        </w:r>
        <w:r w:rsidR="00992B6D">
          <w:rPr>
            <w:noProof/>
            <w:webHidden/>
          </w:rPr>
        </w:r>
        <w:r w:rsidR="00992B6D">
          <w:rPr>
            <w:noProof/>
            <w:webHidden/>
          </w:rPr>
          <w:fldChar w:fldCharType="separate"/>
        </w:r>
        <w:r w:rsidR="00992B6D">
          <w:rPr>
            <w:noProof/>
            <w:webHidden/>
          </w:rPr>
          <w:t>53</w:t>
        </w:r>
        <w:r w:rsidR="00992B6D">
          <w:rPr>
            <w:noProof/>
            <w:webHidden/>
          </w:rPr>
          <w:fldChar w:fldCharType="end"/>
        </w:r>
      </w:hyperlink>
    </w:p>
    <w:p w14:paraId="672BF041" w14:textId="0504B751" w:rsidR="00992B6D" w:rsidRDefault="00475864">
      <w:pPr>
        <w:pStyle w:val="TOC4"/>
        <w:tabs>
          <w:tab w:val="right" w:leader="dot" w:pos="5030"/>
        </w:tabs>
        <w:rPr>
          <w:rFonts w:eastAsiaTheme="minorEastAsia"/>
          <w:smallCaps w:val="0"/>
          <w:noProof/>
          <w:sz w:val="22"/>
          <w:lang w:val="en-US" w:eastAsia="en-US" w:bidi="ar-SA"/>
        </w:rPr>
      </w:pPr>
      <w:hyperlink w:anchor="_Toc25746730" w:history="1">
        <w:r w:rsidR="00992B6D" w:rsidRPr="005146B0">
          <w:rPr>
            <w:rStyle w:val="Hyperlink"/>
            <w:noProof/>
          </w:rPr>
          <w:t>Base de Données de l’Entrepôt de Données SQL</w:t>
        </w:r>
        <w:r w:rsidR="00992B6D">
          <w:rPr>
            <w:noProof/>
            <w:webHidden/>
          </w:rPr>
          <w:tab/>
        </w:r>
        <w:r w:rsidR="00992B6D">
          <w:rPr>
            <w:noProof/>
            <w:webHidden/>
          </w:rPr>
          <w:fldChar w:fldCharType="begin"/>
        </w:r>
        <w:r w:rsidR="00992B6D">
          <w:rPr>
            <w:noProof/>
            <w:webHidden/>
          </w:rPr>
          <w:instrText xml:space="preserve"> PAGEREF _Toc25746730 \h </w:instrText>
        </w:r>
        <w:r w:rsidR="00992B6D">
          <w:rPr>
            <w:noProof/>
            <w:webHidden/>
          </w:rPr>
        </w:r>
        <w:r w:rsidR="00992B6D">
          <w:rPr>
            <w:noProof/>
            <w:webHidden/>
          </w:rPr>
          <w:fldChar w:fldCharType="separate"/>
        </w:r>
        <w:r w:rsidR="00992B6D">
          <w:rPr>
            <w:noProof/>
            <w:webHidden/>
          </w:rPr>
          <w:t>54</w:t>
        </w:r>
        <w:r w:rsidR="00992B6D">
          <w:rPr>
            <w:noProof/>
            <w:webHidden/>
          </w:rPr>
          <w:fldChar w:fldCharType="end"/>
        </w:r>
      </w:hyperlink>
    </w:p>
    <w:p w14:paraId="1BACCE93" w14:textId="2B127688" w:rsidR="00992B6D" w:rsidRDefault="00475864">
      <w:pPr>
        <w:pStyle w:val="TOC4"/>
        <w:tabs>
          <w:tab w:val="right" w:leader="dot" w:pos="5030"/>
        </w:tabs>
        <w:rPr>
          <w:rFonts w:eastAsiaTheme="minorEastAsia"/>
          <w:smallCaps w:val="0"/>
          <w:noProof/>
          <w:sz w:val="22"/>
          <w:lang w:val="en-US" w:eastAsia="en-US" w:bidi="ar-SA"/>
        </w:rPr>
      </w:pPr>
      <w:hyperlink w:anchor="_Toc25746731" w:history="1">
        <w:r w:rsidR="00992B6D" w:rsidRPr="005146B0">
          <w:rPr>
            <w:rStyle w:val="Hyperlink"/>
            <w:noProof/>
          </w:rPr>
          <w:t>Service de Base de Données SQL (éditions De Base, Standard et Premium)</w:t>
        </w:r>
        <w:r w:rsidR="00992B6D">
          <w:rPr>
            <w:noProof/>
            <w:webHidden/>
          </w:rPr>
          <w:tab/>
        </w:r>
        <w:r w:rsidR="00992B6D">
          <w:rPr>
            <w:noProof/>
            <w:webHidden/>
          </w:rPr>
          <w:fldChar w:fldCharType="begin"/>
        </w:r>
        <w:r w:rsidR="00992B6D">
          <w:rPr>
            <w:noProof/>
            <w:webHidden/>
          </w:rPr>
          <w:instrText xml:space="preserve"> PAGEREF _Toc25746731 \h </w:instrText>
        </w:r>
        <w:r w:rsidR="00992B6D">
          <w:rPr>
            <w:noProof/>
            <w:webHidden/>
          </w:rPr>
        </w:r>
        <w:r w:rsidR="00992B6D">
          <w:rPr>
            <w:noProof/>
            <w:webHidden/>
          </w:rPr>
          <w:fldChar w:fldCharType="separate"/>
        </w:r>
        <w:r w:rsidR="00992B6D">
          <w:rPr>
            <w:noProof/>
            <w:webHidden/>
          </w:rPr>
          <w:t>54</w:t>
        </w:r>
        <w:r w:rsidR="00992B6D">
          <w:rPr>
            <w:noProof/>
            <w:webHidden/>
          </w:rPr>
          <w:fldChar w:fldCharType="end"/>
        </w:r>
      </w:hyperlink>
    </w:p>
    <w:p w14:paraId="4F7D9287" w14:textId="0597F159" w:rsidR="00992B6D" w:rsidRDefault="00475864">
      <w:pPr>
        <w:pStyle w:val="TOC4"/>
        <w:tabs>
          <w:tab w:val="right" w:leader="dot" w:pos="5030"/>
        </w:tabs>
        <w:rPr>
          <w:rFonts w:eastAsiaTheme="minorEastAsia"/>
          <w:smallCaps w:val="0"/>
          <w:noProof/>
          <w:sz w:val="22"/>
          <w:lang w:val="en-US" w:eastAsia="en-US" w:bidi="ar-SA"/>
        </w:rPr>
      </w:pPr>
      <w:hyperlink w:anchor="_Toc25746732" w:history="1">
        <w:r w:rsidR="00992B6D" w:rsidRPr="005146B0">
          <w:rPr>
            <w:rStyle w:val="Hyperlink"/>
            <w:noProof/>
          </w:rPr>
          <w:t>Service de Base de Données SQL (éditions Web et Business)</w:t>
        </w:r>
        <w:r w:rsidR="00992B6D">
          <w:rPr>
            <w:noProof/>
            <w:webHidden/>
          </w:rPr>
          <w:tab/>
        </w:r>
        <w:r w:rsidR="00992B6D">
          <w:rPr>
            <w:noProof/>
            <w:webHidden/>
          </w:rPr>
          <w:fldChar w:fldCharType="begin"/>
        </w:r>
        <w:r w:rsidR="00992B6D">
          <w:rPr>
            <w:noProof/>
            <w:webHidden/>
          </w:rPr>
          <w:instrText xml:space="preserve"> PAGEREF _Toc25746732 \h </w:instrText>
        </w:r>
        <w:r w:rsidR="00992B6D">
          <w:rPr>
            <w:noProof/>
            <w:webHidden/>
          </w:rPr>
        </w:r>
        <w:r w:rsidR="00992B6D">
          <w:rPr>
            <w:noProof/>
            <w:webHidden/>
          </w:rPr>
          <w:fldChar w:fldCharType="separate"/>
        </w:r>
        <w:r w:rsidR="00992B6D">
          <w:rPr>
            <w:noProof/>
            <w:webHidden/>
          </w:rPr>
          <w:t>54</w:t>
        </w:r>
        <w:r w:rsidR="00992B6D">
          <w:rPr>
            <w:noProof/>
            <w:webHidden/>
          </w:rPr>
          <w:fldChar w:fldCharType="end"/>
        </w:r>
      </w:hyperlink>
    </w:p>
    <w:p w14:paraId="1F6B1691" w14:textId="519D1BE7" w:rsidR="00992B6D" w:rsidRDefault="00475864">
      <w:pPr>
        <w:pStyle w:val="TOC4"/>
        <w:tabs>
          <w:tab w:val="right" w:leader="dot" w:pos="5030"/>
        </w:tabs>
        <w:rPr>
          <w:rFonts w:eastAsiaTheme="minorEastAsia"/>
          <w:smallCaps w:val="0"/>
          <w:noProof/>
          <w:sz w:val="22"/>
          <w:lang w:val="en-US" w:eastAsia="en-US" w:bidi="ar-SA"/>
        </w:rPr>
      </w:pPr>
      <w:hyperlink w:anchor="_Toc25746733" w:history="1">
        <w:r w:rsidR="00992B6D" w:rsidRPr="005146B0">
          <w:rPr>
            <w:rStyle w:val="Hyperlink"/>
            <w:noProof/>
          </w:rPr>
          <w:t>SQL Server Stretch Database</w:t>
        </w:r>
        <w:r w:rsidR="00992B6D">
          <w:rPr>
            <w:noProof/>
            <w:webHidden/>
          </w:rPr>
          <w:tab/>
        </w:r>
        <w:r w:rsidR="00992B6D">
          <w:rPr>
            <w:noProof/>
            <w:webHidden/>
          </w:rPr>
          <w:fldChar w:fldCharType="begin"/>
        </w:r>
        <w:r w:rsidR="00992B6D">
          <w:rPr>
            <w:noProof/>
            <w:webHidden/>
          </w:rPr>
          <w:instrText xml:space="preserve"> PAGEREF _Toc25746733 \h </w:instrText>
        </w:r>
        <w:r w:rsidR="00992B6D">
          <w:rPr>
            <w:noProof/>
            <w:webHidden/>
          </w:rPr>
        </w:r>
        <w:r w:rsidR="00992B6D">
          <w:rPr>
            <w:noProof/>
            <w:webHidden/>
          </w:rPr>
          <w:fldChar w:fldCharType="separate"/>
        </w:r>
        <w:r w:rsidR="00992B6D">
          <w:rPr>
            <w:noProof/>
            <w:webHidden/>
          </w:rPr>
          <w:t>55</w:t>
        </w:r>
        <w:r w:rsidR="00992B6D">
          <w:rPr>
            <w:noProof/>
            <w:webHidden/>
          </w:rPr>
          <w:fldChar w:fldCharType="end"/>
        </w:r>
      </w:hyperlink>
    </w:p>
    <w:p w14:paraId="6A4D8420" w14:textId="449965A3" w:rsidR="00992B6D" w:rsidRDefault="00475864">
      <w:pPr>
        <w:pStyle w:val="TOC4"/>
        <w:tabs>
          <w:tab w:val="right" w:leader="dot" w:pos="5030"/>
        </w:tabs>
        <w:rPr>
          <w:rFonts w:eastAsiaTheme="minorEastAsia"/>
          <w:smallCaps w:val="0"/>
          <w:noProof/>
          <w:sz w:val="22"/>
          <w:lang w:val="en-US" w:eastAsia="en-US" w:bidi="ar-SA"/>
        </w:rPr>
      </w:pPr>
      <w:hyperlink w:anchor="_Toc25746734" w:history="1">
        <w:r w:rsidR="00992B6D" w:rsidRPr="005146B0">
          <w:rPr>
            <w:rStyle w:val="Hyperlink"/>
            <w:noProof/>
            <w:lang w:val="en-US" w:eastAsia="en-US"/>
          </w:rPr>
          <w:t>Service Storage</w:t>
        </w:r>
        <w:r w:rsidR="00992B6D">
          <w:rPr>
            <w:noProof/>
            <w:webHidden/>
          </w:rPr>
          <w:tab/>
        </w:r>
        <w:r w:rsidR="00992B6D">
          <w:rPr>
            <w:noProof/>
            <w:webHidden/>
          </w:rPr>
          <w:fldChar w:fldCharType="begin"/>
        </w:r>
        <w:r w:rsidR="00992B6D">
          <w:rPr>
            <w:noProof/>
            <w:webHidden/>
          </w:rPr>
          <w:instrText xml:space="preserve"> PAGEREF _Toc25746734 \h </w:instrText>
        </w:r>
        <w:r w:rsidR="00992B6D">
          <w:rPr>
            <w:noProof/>
            <w:webHidden/>
          </w:rPr>
        </w:r>
        <w:r w:rsidR="00992B6D">
          <w:rPr>
            <w:noProof/>
            <w:webHidden/>
          </w:rPr>
          <w:fldChar w:fldCharType="separate"/>
        </w:r>
        <w:r w:rsidR="00992B6D">
          <w:rPr>
            <w:noProof/>
            <w:webHidden/>
          </w:rPr>
          <w:t>55</w:t>
        </w:r>
        <w:r w:rsidR="00992B6D">
          <w:rPr>
            <w:noProof/>
            <w:webHidden/>
          </w:rPr>
          <w:fldChar w:fldCharType="end"/>
        </w:r>
      </w:hyperlink>
    </w:p>
    <w:p w14:paraId="3AD2BC75" w14:textId="2946C971" w:rsidR="00992B6D" w:rsidRDefault="00475864">
      <w:pPr>
        <w:pStyle w:val="TOC4"/>
        <w:tabs>
          <w:tab w:val="right" w:leader="dot" w:pos="5030"/>
        </w:tabs>
        <w:rPr>
          <w:rFonts w:eastAsiaTheme="minorEastAsia"/>
          <w:smallCaps w:val="0"/>
          <w:noProof/>
          <w:sz w:val="22"/>
          <w:lang w:val="en-US" w:eastAsia="en-US" w:bidi="ar-SA"/>
        </w:rPr>
      </w:pPr>
      <w:hyperlink w:anchor="_Toc25746735" w:history="1">
        <w:r w:rsidR="00992B6D" w:rsidRPr="005146B0">
          <w:rPr>
            <w:rStyle w:val="Hyperlink"/>
            <w:noProof/>
          </w:rPr>
          <w:t>Stream Analytics – Appels d’API</w:t>
        </w:r>
        <w:r w:rsidR="00992B6D">
          <w:rPr>
            <w:noProof/>
            <w:webHidden/>
          </w:rPr>
          <w:tab/>
        </w:r>
        <w:r w:rsidR="00992B6D">
          <w:rPr>
            <w:noProof/>
            <w:webHidden/>
          </w:rPr>
          <w:fldChar w:fldCharType="begin"/>
        </w:r>
        <w:r w:rsidR="00992B6D">
          <w:rPr>
            <w:noProof/>
            <w:webHidden/>
          </w:rPr>
          <w:instrText xml:space="preserve"> PAGEREF _Toc25746735 \h </w:instrText>
        </w:r>
        <w:r w:rsidR="00992B6D">
          <w:rPr>
            <w:noProof/>
            <w:webHidden/>
          </w:rPr>
        </w:r>
        <w:r w:rsidR="00992B6D">
          <w:rPr>
            <w:noProof/>
            <w:webHidden/>
          </w:rPr>
          <w:fldChar w:fldCharType="separate"/>
        </w:r>
        <w:r w:rsidR="00992B6D">
          <w:rPr>
            <w:noProof/>
            <w:webHidden/>
          </w:rPr>
          <w:t>57</w:t>
        </w:r>
        <w:r w:rsidR="00992B6D">
          <w:rPr>
            <w:noProof/>
            <w:webHidden/>
          </w:rPr>
          <w:fldChar w:fldCharType="end"/>
        </w:r>
      </w:hyperlink>
    </w:p>
    <w:p w14:paraId="41949F82" w14:textId="60F7DFD2" w:rsidR="00992B6D" w:rsidRDefault="00475864">
      <w:pPr>
        <w:pStyle w:val="TOC4"/>
        <w:tabs>
          <w:tab w:val="right" w:leader="dot" w:pos="5030"/>
        </w:tabs>
        <w:rPr>
          <w:rFonts w:eastAsiaTheme="minorEastAsia"/>
          <w:smallCaps w:val="0"/>
          <w:noProof/>
          <w:sz w:val="22"/>
          <w:lang w:val="en-US" w:eastAsia="en-US" w:bidi="ar-SA"/>
        </w:rPr>
      </w:pPr>
      <w:hyperlink w:anchor="_Toc25746736" w:history="1">
        <w:r w:rsidR="00992B6D" w:rsidRPr="005146B0">
          <w:rPr>
            <w:rStyle w:val="Hyperlink"/>
            <w:noProof/>
          </w:rPr>
          <w:t>Stream Analytics – Travaux</w:t>
        </w:r>
        <w:r w:rsidR="00992B6D">
          <w:rPr>
            <w:noProof/>
            <w:webHidden/>
          </w:rPr>
          <w:tab/>
        </w:r>
        <w:r w:rsidR="00992B6D">
          <w:rPr>
            <w:noProof/>
            <w:webHidden/>
          </w:rPr>
          <w:fldChar w:fldCharType="begin"/>
        </w:r>
        <w:r w:rsidR="00992B6D">
          <w:rPr>
            <w:noProof/>
            <w:webHidden/>
          </w:rPr>
          <w:instrText xml:space="preserve"> PAGEREF _Toc25746736 \h </w:instrText>
        </w:r>
        <w:r w:rsidR="00992B6D">
          <w:rPr>
            <w:noProof/>
            <w:webHidden/>
          </w:rPr>
        </w:r>
        <w:r w:rsidR="00992B6D">
          <w:rPr>
            <w:noProof/>
            <w:webHidden/>
          </w:rPr>
          <w:fldChar w:fldCharType="separate"/>
        </w:r>
        <w:r w:rsidR="00992B6D">
          <w:rPr>
            <w:noProof/>
            <w:webHidden/>
          </w:rPr>
          <w:t>57</w:t>
        </w:r>
        <w:r w:rsidR="00992B6D">
          <w:rPr>
            <w:noProof/>
            <w:webHidden/>
          </w:rPr>
          <w:fldChar w:fldCharType="end"/>
        </w:r>
      </w:hyperlink>
    </w:p>
    <w:p w14:paraId="7DB8113E" w14:textId="4F6BD5D0" w:rsidR="00992B6D" w:rsidRDefault="00475864">
      <w:pPr>
        <w:pStyle w:val="TOC4"/>
        <w:tabs>
          <w:tab w:val="right" w:leader="dot" w:pos="5030"/>
        </w:tabs>
        <w:rPr>
          <w:rFonts w:eastAsiaTheme="minorEastAsia"/>
          <w:smallCaps w:val="0"/>
          <w:noProof/>
          <w:sz w:val="22"/>
          <w:lang w:val="en-US" w:eastAsia="en-US" w:bidi="ar-SA"/>
        </w:rPr>
      </w:pPr>
      <w:hyperlink w:anchor="_Toc25746737" w:history="1">
        <w:r w:rsidR="00992B6D" w:rsidRPr="005146B0">
          <w:rPr>
            <w:rStyle w:val="Hyperlink"/>
            <w:noProof/>
            <w:lang w:val="en-US" w:eastAsia="en-US"/>
          </w:rPr>
          <w:t>Service Traffic Manager</w:t>
        </w:r>
        <w:r w:rsidR="00992B6D">
          <w:rPr>
            <w:noProof/>
            <w:webHidden/>
          </w:rPr>
          <w:tab/>
        </w:r>
        <w:r w:rsidR="00992B6D">
          <w:rPr>
            <w:noProof/>
            <w:webHidden/>
          </w:rPr>
          <w:fldChar w:fldCharType="begin"/>
        </w:r>
        <w:r w:rsidR="00992B6D">
          <w:rPr>
            <w:noProof/>
            <w:webHidden/>
          </w:rPr>
          <w:instrText xml:space="preserve"> PAGEREF _Toc25746737 \h </w:instrText>
        </w:r>
        <w:r w:rsidR="00992B6D">
          <w:rPr>
            <w:noProof/>
            <w:webHidden/>
          </w:rPr>
        </w:r>
        <w:r w:rsidR="00992B6D">
          <w:rPr>
            <w:noProof/>
            <w:webHidden/>
          </w:rPr>
          <w:fldChar w:fldCharType="separate"/>
        </w:r>
        <w:r w:rsidR="00992B6D">
          <w:rPr>
            <w:noProof/>
            <w:webHidden/>
          </w:rPr>
          <w:t>58</w:t>
        </w:r>
        <w:r w:rsidR="00992B6D">
          <w:rPr>
            <w:noProof/>
            <w:webHidden/>
          </w:rPr>
          <w:fldChar w:fldCharType="end"/>
        </w:r>
      </w:hyperlink>
    </w:p>
    <w:p w14:paraId="197A819E" w14:textId="2B38F977" w:rsidR="00992B6D" w:rsidRDefault="00475864">
      <w:pPr>
        <w:pStyle w:val="TOC4"/>
        <w:tabs>
          <w:tab w:val="right" w:leader="dot" w:pos="5030"/>
        </w:tabs>
        <w:rPr>
          <w:rFonts w:eastAsiaTheme="minorEastAsia"/>
          <w:smallCaps w:val="0"/>
          <w:noProof/>
          <w:sz w:val="22"/>
          <w:lang w:val="en-US" w:eastAsia="en-US" w:bidi="ar-SA"/>
        </w:rPr>
      </w:pPr>
      <w:hyperlink w:anchor="_Toc25746738" w:history="1">
        <w:r w:rsidR="00992B6D" w:rsidRPr="005146B0">
          <w:rPr>
            <w:rStyle w:val="Hyperlink"/>
            <w:noProof/>
          </w:rPr>
          <w:t>Machines virtuelles</w:t>
        </w:r>
        <w:r w:rsidR="00992B6D">
          <w:rPr>
            <w:noProof/>
            <w:webHidden/>
          </w:rPr>
          <w:tab/>
        </w:r>
        <w:r w:rsidR="00992B6D">
          <w:rPr>
            <w:noProof/>
            <w:webHidden/>
          </w:rPr>
          <w:fldChar w:fldCharType="begin"/>
        </w:r>
        <w:r w:rsidR="00992B6D">
          <w:rPr>
            <w:noProof/>
            <w:webHidden/>
          </w:rPr>
          <w:instrText xml:space="preserve"> PAGEREF _Toc25746738 \h </w:instrText>
        </w:r>
        <w:r w:rsidR="00992B6D">
          <w:rPr>
            <w:noProof/>
            <w:webHidden/>
          </w:rPr>
        </w:r>
        <w:r w:rsidR="00992B6D">
          <w:rPr>
            <w:noProof/>
            <w:webHidden/>
          </w:rPr>
          <w:fldChar w:fldCharType="separate"/>
        </w:r>
        <w:r w:rsidR="00992B6D">
          <w:rPr>
            <w:noProof/>
            <w:webHidden/>
          </w:rPr>
          <w:t>58</w:t>
        </w:r>
        <w:r w:rsidR="00992B6D">
          <w:rPr>
            <w:noProof/>
            <w:webHidden/>
          </w:rPr>
          <w:fldChar w:fldCharType="end"/>
        </w:r>
      </w:hyperlink>
    </w:p>
    <w:p w14:paraId="0BCB5B40" w14:textId="1002CE4B" w:rsidR="00992B6D" w:rsidRDefault="00475864">
      <w:pPr>
        <w:pStyle w:val="TOC4"/>
        <w:tabs>
          <w:tab w:val="right" w:leader="dot" w:pos="5030"/>
        </w:tabs>
        <w:rPr>
          <w:rFonts w:eastAsiaTheme="minorEastAsia"/>
          <w:smallCaps w:val="0"/>
          <w:noProof/>
          <w:sz w:val="22"/>
          <w:lang w:val="en-US" w:eastAsia="en-US" w:bidi="ar-SA"/>
        </w:rPr>
      </w:pPr>
      <w:hyperlink w:anchor="_Toc25746739" w:history="1">
        <w:r w:rsidR="00992B6D" w:rsidRPr="005146B0">
          <w:rPr>
            <w:rStyle w:val="Hyperlink"/>
            <w:noProof/>
          </w:rPr>
          <w:t>Passerelle VPN</w:t>
        </w:r>
        <w:r w:rsidR="00992B6D">
          <w:rPr>
            <w:noProof/>
            <w:webHidden/>
          </w:rPr>
          <w:tab/>
        </w:r>
        <w:r w:rsidR="00992B6D">
          <w:rPr>
            <w:noProof/>
            <w:webHidden/>
          </w:rPr>
          <w:fldChar w:fldCharType="begin"/>
        </w:r>
        <w:r w:rsidR="00992B6D">
          <w:rPr>
            <w:noProof/>
            <w:webHidden/>
          </w:rPr>
          <w:instrText xml:space="preserve"> PAGEREF _Toc25746739 \h </w:instrText>
        </w:r>
        <w:r w:rsidR="00992B6D">
          <w:rPr>
            <w:noProof/>
            <w:webHidden/>
          </w:rPr>
        </w:r>
        <w:r w:rsidR="00992B6D">
          <w:rPr>
            <w:noProof/>
            <w:webHidden/>
          </w:rPr>
          <w:fldChar w:fldCharType="separate"/>
        </w:r>
        <w:r w:rsidR="00992B6D">
          <w:rPr>
            <w:noProof/>
            <w:webHidden/>
          </w:rPr>
          <w:t>60</w:t>
        </w:r>
        <w:r w:rsidR="00992B6D">
          <w:rPr>
            <w:noProof/>
            <w:webHidden/>
          </w:rPr>
          <w:fldChar w:fldCharType="end"/>
        </w:r>
      </w:hyperlink>
    </w:p>
    <w:p w14:paraId="1378595B" w14:textId="7059241A" w:rsidR="00992B6D" w:rsidRDefault="00475864">
      <w:pPr>
        <w:pStyle w:val="TOC4"/>
        <w:tabs>
          <w:tab w:val="right" w:leader="dot" w:pos="5030"/>
        </w:tabs>
        <w:rPr>
          <w:rFonts w:eastAsiaTheme="minorEastAsia"/>
          <w:smallCaps w:val="0"/>
          <w:noProof/>
          <w:sz w:val="22"/>
          <w:lang w:val="en-US" w:eastAsia="en-US" w:bidi="ar-SA"/>
        </w:rPr>
      </w:pPr>
      <w:hyperlink w:anchor="_Toc25746740" w:history="1">
        <w:r w:rsidR="00992B6D" w:rsidRPr="005146B0">
          <w:rPr>
            <w:rStyle w:val="Hyperlink"/>
            <w:noProof/>
          </w:rPr>
          <w:t>Service de Build de Visual Studio App Center</w:t>
        </w:r>
        <w:r w:rsidR="00992B6D">
          <w:rPr>
            <w:noProof/>
            <w:webHidden/>
          </w:rPr>
          <w:tab/>
        </w:r>
        <w:r w:rsidR="00992B6D">
          <w:rPr>
            <w:noProof/>
            <w:webHidden/>
          </w:rPr>
          <w:fldChar w:fldCharType="begin"/>
        </w:r>
        <w:r w:rsidR="00992B6D">
          <w:rPr>
            <w:noProof/>
            <w:webHidden/>
          </w:rPr>
          <w:instrText xml:space="preserve"> PAGEREF _Toc25746740 \h </w:instrText>
        </w:r>
        <w:r w:rsidR="00992B6D">
          <w:rPr>
            <w:noProof/>
            <w:webHidden/>
          </w:rPr>
        </w:r>
        <w:r w:rsidR="00992B6D">
          <w:rPr>
            <w:noProof/>
            <w:webHidden/>
          </w:rPr>
          <w:fldChar w:fldCharType="separate"/>
        </w:r>
        <w:r w:rsidR="00992B6D">
          <w:rPr>
            <w:noProof/>
            <w:webHidden/>
          </w:rPr>
          <w:t>60</w:t>
        </w:r>
        <w:r w:rsidR="00992B6D">
          <w:rPr>
            <w:noProof/>
            <w:webHidden/>
          </w:rPr>
          <w:fldChar w:fldCharType="end"/>
        </w:r>
      </w:hyperlink>
    </w:p>
    <w:p w14:paraId="0B08A6E4" w14:textId="1A22FECB" w:rsidR="00992B6D" w:rsidRDefault="00475864">
      <w:pPr>
        <w:pStyle w:val="TOC4"/>
        <w:tabs>
          <w:tab w:val="right" w:leader="dot" w:pos="5030"/>
        </w:tabs>
        <w:rPr>
          <w:rFonts w:eastAsiaTheme="minorEastAsia"/>
          <w:smallCaps w:val="0"/>
          <w:noProof/>
          <w:sz w:val="22"/>
          <w:lang w:val="en-US" w:eastAsia="en-US" w:bidi="ar-SA"/>
        </w:rPr>
      </w:pPr>
      <w:hyperlink w:anchor="_Toc25746741" w:history="1">
        <w:r w:rsidR="00992B6D" w:rsidRPr="005146B0">
          <w:rPr>
            <w:rStyle w:val="Hyperlink"/>
            <w:noProof/>
          </w:rPr>
          <w:t>Service de Test de Visual Studio App Center</w:t>
        </w:r>
        <w:r w:rsidR="00992B6D">
          <w:rPr>
            <w:noProof/>
            <w:webHidden/>
          </w:rPr>
          <w:tab/>
        </w:r>
        <w:r w:rsidR="00992B6D">
          <w:rPr>
            <w:noProof/>
            <w:webHidden/>
          </w:rPr>
          <w:fldChar w:fldCharType="begin"/>
        </w:r>
        <w:r w:rsidR="00992B6D">
          <w:rPr>
            <w:noProof/>
            <w:webHidden/>
          </w:rPr>
          <w:instrText xml:space="preserve"> PAGEREF _Toc25746741 \h </w:instrText>
        </w:r>
        <w:r w:rsidR="00992B6D">
          <w:rPr>
            <w:noProof/>
            <w:webHidden/>
          </w:rPr>
        </w:r>
        <w:r w:rsidR="00992B6D">
          <w:rPr>
            <w:noProof/>
            <w:webHidden/>
          </w:rPr>
          <w:fldChar w:fldCharType="separate"/>
        </w:r>
        <w:r w:rsidR="00992B6D">
          <w:rPr>
            <w:noProof/>
            <w:webHidden/>
          </w:rPr>
          <w:t>61</w:t>
        </w:r>
        <w:r w:rsidR="00992B6D">
          <w:rPr>
            <w:noProof/>
            <w:webHidden/>
          </w:rPr>
          <w:fldChar w:fldCharType="end"/>
        </w:r>
      </w:hyperlink>
    </w:p>
    <w:p w14:paraId="65F74075" w14:textId="05476816" w:rsidR="00992B6D" w:rsidRDefault="00475864">
      <w:pPr>
        <w:pStyle w:val="TOC4"/>
        <w:tabs>
          <w:tab w:val="right" w:leader="dot" w:pos="5030"/>
        </w:tabs>
        <w:rPr>
          <w:rFonts w:eastAsiaTheme="minorEastAsia"/>
          <w:smallCaps w:val="0"/>
          <w:noProof/>
          <w:sz w:val="22"/>
          <w:lang w:val="en-US" w:eastAsia="en-US" w:bidi="ar-SA"/>
        </w:rPr>
      </w:pPr>
      <w:hyperlink w:anchor="_Toc25746742" w:history="1">
        <w:r w:rsidR="00992B6D" w:rsidRPr="005146B0">
          <w:rPr>
            <w:rStyle w:val="Hyperlink"/>
            <w:noProof/>
          </w:rPr>
          <w:t>Service de Notifications Push de Visual Studio App Center</w:t>
        </w:r>
        <w:r w:rsidR="00992B6D">
          <w:rPr>
            <w:noProof/>
            <w:webHidden/>
          </w:rPr>
          <w:tab/>
        </w:r>
        <w:r w:rsidR="00992B6D">
          <w:rPr>
            <w:noProof/>
            <w:webHidden/>
          </w:rPr>
          <w:fldChar w:fldCharType="begin"/>
        </w:r>
        <w:r w:rsidR="00992B6D">
          <w:rPr>
            <w:noProof/>
            <w:webHidden/>
          </w:rPr>
          <w:instrText xml:space="preserve"> PAGEREF _Toc25746742 \h </w:instrText>
        </w:r>
        <w:r w:rsidR="00992B6D">
          <w:rPr>
            <w:noProof/>
            <w:webHidden/>
          </w:rPr>
        </w:r>
        <w:r w:rsidR="00992B6D">
          <w:rPr>
            <w:noProof/>
            <w:webHidden/>
          </w:rPr>
          <w:fldChar w:fldCharType="separate"/>
        </w:r>
        <w:r w:rsidR="00992B6D">
          <w:rPr>
            <w:noProof/>
            <w:webHidden/>
          </w:rPr>
          <w:t>61</w:t>
        </w:r>
        <w:r w:rsidR="00992B6D">
          <w:rPr>
            <w:noProof/>
            <w:webHidden/>
          </w:rPr>
          <w:fldChar w:fldCharType="end"/>
        </w:r>
      </w:hyperlink>
    </w:p>
    <w:p w14:paraId="5970BB38" w14:textId="2436F4CA" w:rsidR="00992B6D" w:rsidRDefault="00475864">
      <w:pPr>
        <w:pStyle w:val="TOC4"/>
        <w:tabs>
          <w:tab w:val="right" w:leader="dot" w:pos="5030"/>
        </w:tabs>
        <w:rPr>
          <w:rFonts w:eastAsiaTheme="minorEastAsia"/>
          <w:smallCaps w:val="0"/>
          <w:noProof/>
          <w:sz w:val="22"/>
          <w:lang w:val="en-US" w:eastAsia="en-US" w:bidi="ar-SA"/>
        </w:rPr>
      </w:pPr>
      <w:hyperlink w:anchor="_Toc25746743" w:history="1">
        <w:r w:rsidR="00992B6D" w:rsidRPr="005146B0">
          <w:rPr>
            <w:rStyle w:val="Hyperlink"/>
            <w:noProof/>
          </w:rPr>
          <w:t>Azure Dev Ops Services – Azure Pipelines</w:t>
        </w:r>
        <w:r w:rsidR="00992B6D">
          <w:rPr>
            <w:noProof/>
            <w:webHidden/>
          </w:rPr>
          <w:tab/>
        </w:r>
        <w:r w:rsidR="00992B6D">
          <w:rPr>
            <w:noProof/>
            <w:webHidden/>
          </w:rPr>
          <w:fldChar w:fldCharType="begin"/>
        </w:r>
        <w:r w:rsidR="00992B6D">
          <w:rPr>
            <w:noProof/>
            <w:webHidden/>
          </w:rPr>
          <w:instrText xml:space="preserve"> PAGEREF _Toc25746743 \h </w:instrText>
        </w:r>
        <w:r w:rsidR="00992B6D">
          <w:rPr>
            <w:noProof/>
            <w:webHidden/>
          </w:rPr>
        </w:r>
        <w:r w:rsidR="00992B6D">
          <w:rPr>
            <w:noProof/>
            <w:webHidden/>
          </w:rPr>
          <w:fldChar w:fldCharType="separate"/>
        </w:r>
        <w:r w:rsidR="00992B6D">
          <w:rPr>
            <w:noProof/>
            <w:webHidden/>
          </w:rPr>
          <w:t>62</w:t>
        </w:r>
        <w:r w:rsidR="00992B6D">
          <w:rPr>
            <w:noProof/>
            <w:webHidden/>
          </w:rPr>
          <w:fldChar w:fldCharType="end"/>
        </w:r>
      </w:hyperlink>
    </w:p>
    <w:p w14:paraId="54CB30B4" w14:textId="01FD17E5" w:rsidR="00992B6D" w:rsidRDefault="00475864">
      <w:pPr>
        <w:pStyle w:val="TOC4"/>
        <w:tabs>
          <w:tab w:val="right" w:leader="dot" w:pos="5030"/>
        </w:tabs>
        <w:rPr>
          <w:rFonts w:eastAsiaTheme="minorEastAsia"/>
          <w:smallCaps w:val="0"/>
          <w:noProof/>
          <w:sz w:val="22"/>
          <w:lang w:val="en-US" w:eastAsia="en-US" w:bidi="ar-SA"/>
        </w:rPr>
      </w:pPr>
      <w:hyperlink w:anchor="_Toc25746744" w:history="1">
        <w:r w:rsidR="00992B6D" w:rsidRPr="005146B0">
          <w:rPr>
            <w:rStyle w:val="Hyperlink"/>
            <w:noProof/>
          </w:rPr>
          <w:t>Azure DevOps Test Plans – Service de Test de Chargement</w:t>
        </w:r>
        <w:r w:rsidR="00992B6D">
          <w:rPr>
            <w:noProof/>
            <w:webHidden/>
          </w:rPr>
          <w:tab/>
        </w:r>
        <w:r w:rsidR="00992B6D">
          <w:rPr>
            <w:noProof/>
            <w:webHidden/>
          </w:rPr>
          <w:fldChar w:fldCharType="begin"/>
        </w:r>
        <w:r w:rsidR="00992B6D">
          <w:rPr>
            <w:noProof/>
            <w:webHidden/>
          </w:rPr>
          <w:instrText xml:space="preserve"> PAGEREF _Toc25746744 \h </w:instrText>
        </w:r>
        <w:r w:rsidR="00992B6D">
          <w:rPr>
            <w:noProof/>
            <w:webHidden/>
          </w:rPr>
        </w:r>
        <w:r w:rsidR="00992B6D">
          <w:rPr>
            <w:noProof/>
            <w:webHidden/>
          </w:rPr>
          <w:fldChar w:fldCharType="separate"/>
        </w:r>
        <w:r w:rsidR="00992B6D">
          <w:rPr>
            <w:noProof/>
            <w:webHidden/>
          </w:rPr>
          <w:t>62</w:t>
        </w:r>
        <w:r w:rsidR="00992B6D">
          <w:rPr>
            <w:noProof/>
            <w:webHidden/>
          </w:rPr>
          <w:fldChar w:fldCharType="end"/>
        </w:r>
      </w:hyperlink>
    </w:p>
    <w:p w14:paraId="12184FAC" w14:textId="17787CC4" w:rsidR="00992B6D" w:rsidRDefault="00475864">
      <w:pPr>
        <w:pStyle w:val="TOC4"/>
        <w:tabs>
          <w:tab w:val="right" w:leader="dot" w:pos="5030"/>
        </w:tabs>
        <w:rPr>
          <w:rFonts w:eastAsiaTheme="minorEastAsia"/>
          <w:smallCaps w:val="0"/>
          <w:noProof/>
          <w:sz w:val="22"/>
          <w:lang w:val="en-US" w:eastAsia="en-US" w:bidi="ar-SA"/>
        </w:rPr>
      </w:pPr>
      <w:hyperlink w:anchor="_Toc25746745" w:history="1">
        <w:r w:rsidR="00992B6D" w:rsidRPr="005146B0">
          <w:rPr>
            <w:rStyle w:val="Hyperlink"/>
            <w:noProof/>
          </w:rPr>
          <w:t>Azure DevOps Services – Service des Plans Utilisateur</w:t>
        </w:r>
        <w:r w:rsidR="00992B6D">
          <w:rPr>
            <w:noProof/>
            <w:webHidden/>
          </w:rPr>
          <w:tab/>
        </w:r>
        <w:r w:rsidR="00992B6D">
          <w:rPr>
            <w:noProof/>
            <w:webHidden/>
          </w:rPr>
          <w:fldChar w:fldCharType="begin"/>
        </w:r>
        <w:r w:rsidR="00992B6D">
          <w:rPr>
            <w:noProof/>
            <w:webHidden/>
          </w:rPr>
          <w:instrText xml:space="preserve"> PAGEREF _Toc25746745 \h </w:instrText>
        </w:r>
        <w:r w:rsidR="00992B6D">
          <w:rPr>
            <w:noProof/>
            <w:webHidden/>
          </w:rPr>
        </w:r>
        <w:r w:rsidR="00992B6D">
          <w:rPr>
            <w:noProof/>
            <w:webHidden/>
          </w:rPr>
          <w:fldChar w:fldCharType="separate"/>
        </w:r>
        <w:r w:rsidR="00992B6D">
          <w:rPr>
            <w:noProof/>
            <w:webHidden/>
          </w:rPr>
          <w:t>63</w:t>
        </w:r>
        <w:r w:rsidR="00992B6D">
          <w:rPr>
            <w:noProof/>
            <w:webHidden/>
          </w:rPr>
          <w:fldChar w:fldCharType="end"/>
        </w:r>
      </w:hyperlink>
    </w:p>
    <w:p w14:paraId="49B52AA3" w14:textId="6310A988" w:rsidR="00992B6D" w:rsidRDefault="00475864">
      <w:pPr>
        <w:pStyle w:val="TOC2"/>
        <w:tabs>
          <w:tab w:val="right" w:leader="dot" w:pos="5030"/>
        </w:tabs>
        <w:rPr>
          <w:rFonts w:eastAsiaTheme="minorEastAsia"/>
          <w:b w:val="0"/>
          <w:smallCaps w:val="0"/>
          <w:noProof/>
          <w:sz w:val="22"/>
          <w:lang w:val="en-US" w:eastAsia="en-US" w:bidi="ar-SA"/>
        </w:rPr>
      </w:pPr>
      <w:hyperlink w:anchor="_Toc25746746" w:history="1">
        <w:r w:rsidR="00992B6D" w:rsidRPr="005146B0">
          <w:rPr>
            <w:rStyle w:val="Hyperlink"/>
            <w:noProof/>
          </w:rPr>
          <w:t>Plans Microsoft Azure</w:t>
        </w:r>
        <w:r w:rsidR="00992B6D">
          <w:rPr>
            <w:noProof/>
            <w:webHidden/>
          </w:rPr>
          <w:tab/>
        </w:r>
        <w:r w:rsidR="00992B6D">
          <w:rPr>
            <w:noProof/>
            <w:webHidden/>
          </w:rPr>
          <w:fldChar w:fldCharType="begin"/>
        </w:r>
        <w:r w:rsidR="00992B6D">
          <w:rPr>
            <w:noProof/>
            <w:webHidden/>
          </w:rPr>
          <w:instrText xml:space="preserve"> PAGEREF _Toc25746746 \h </w:instrText>
        </w:r>
        <w:r w:rsidR="00992B6D">
          <w:rPr>
            <w:noProof/>
            <w:webHidden/>
          </w:rPr>
        </w:r>
        <w:r w:rsidR="00992B6D">
          <w:rPr>
            <w:noProof/>
            <w:webHidden/>
          </w:rPr>
          <w:fldChar w:fldCharType="separate"/>
        </w:r>
        <w:r w:rsidR="00992B6D">
          <w:rPr>
            <w:noProof/>
            <w:webHidden/>
          </w:rPr>
          <w:t>64</w:t>
        </w:r>
        <w:r w:rsidR="00992B6D">
          <w:rPr>
            <w:noProof/>
            <w:webHidden/>
          </w:rPr>
          <w:fldChar w:fldCharType="end"/>
        </w:r>
      </w:hyperlink>
    </w:p>
    <w:p w14:paraId="46318F0C" w14:textId="54438FD1" w:rsidR="00992B6D" w:rsidRDefault="00475864">
      <w:pPr>
        <w:pStyle w:val="TOC4"/>
        <w:tabs>
          <w:tab w:val="right" w:leader="dot" w:pos="5030"/>
        </w:tabs>
        <w:rPr>
          <w:rFonts w:eastAsiaTheme="minorEastAsia"/>
          <w:smallCaps w:val="0"/>
          <w:noProof/>
          <w:sz w:val="22"/>
          <w:lang w:val="en-US" w:eastAsia="en-US" w:bidi="ar-SA"/>
        </w:rPr>
      </w:pPr>
      <w:hyperlink w:anchor="_Toc25746747" w:history="1">
        <w:r w:rsidR="00992B6D" w:rsidRPr="005146B0">
          <w:rPr>
            <w:rStyle w:val="Hyperlink"/>
            <w:noProof/>
          </w:rPr>
          <w:t>Azure Active Directory Basic</w:t>
        </w:r>
        <w:r w:rsidR="00992B6D">
          <w:rPr>
            <w:noProof/>
            <w:webHidden/>
          </w:rPr>
          <w:tab/>
        </w:r>
        <w:r w:rsidR="00992B6D">
          <w:rPr>
            <w:noProof/>
            <w:webHidden/>
          </w:rPr>
          <w:fldChar w:fldCharType="begin"/>
        </w:r>
        <w:r w:rsidR="00992B6D">
          <w:rPr>
            <w:noProof/>
            <w:webHidden/>
          </w:rPr>
          <w:instrText xml:space="preserve"> PAGEREF _Toc25746747 \h </w:instrText>
        </w:r>
        <w:r w:rsidR="00992B6D">
          <w:rPr>
            <w:noProof/>
            <w:webHidden/>
          </w:rPr>
        </w:r>
        <w:r w:rsidR="00992B6D">
          <w:rPr>
            <w:noProof/>
            <w:webHidden/>
          </w:rPr>
          <w:fldChar w:fldCharType="separate"/>
        </w:r>
        <w:r w:rsidR="00992B6D">
          <w:rPr>
            <w:noProof/>
            <w:webHidden/>
          </w:rPr>
          <w:t>64</w:t>
        </w:r>
        <w:r w:rsidR="00992B6D">
          <w:rPr>
            <w:noProof/>
            <w:webHidden/>
          </w:rPr>
          <w:fldChar w:fldCharType="end"/>
        </w:r>
      </w:hyperlink>
    </w:p>
    <w:p w14:paraId="7649A569" w14:textId="1F701021" w:rsidR="00992B6D" w:rsidRDefault="00475864">
      <w:pPr>
        <w:pStyle w:val="TOC4"/>
        <w:tabs>
          <w:tab w:val="right" w:leader="dot" w:pos="5030"/>
        </w:tabs>
        <w:rPr>
          <w:rFonts w:eastAsiaTheme="minorEastAsia"/>
          <w:smallCaps w:val="0"/>
          <w:noProof/>
          <w:sz w:val="22"/>
          <w:lang w:val="en-US" w:eastAsia="en-US" w:bidi="ar-SA"/>
        </w:rPr>
      </w:pPr>
      <w:hyperlink w:anchor="_Toc25746748" w:history="1">
        <w:r w:rsidR="00992B6D" w:rsidRPr="005146B0">
          <w:rPr>
            <w:rStyle w:val="Hyperlink"/>
            <w:noProof/>
          </w:rPr>
          <w:t>Azure Active Directory B2C</w:t>
        </w:r>
        <w:r w:rsidR="00992B6D">
          <w:rPr>
            <w:noProof/>
            <w:webHidden/>
          </w:rPr>
          <w:tab/>
        </w:r>
        <w:r w:rsidR="00992B6D">
          <w:rPr>
            <w:noProof/>
            <w:webHidden/>
          </w:rPr>
          <w:fldChar w:fldCharType="begin"/>
        </w:r>
        <w:r w:rsidR="00992B6D">
          <w:rPr>
            <w:noProof/>
            <w:webHidden/>
          </w:rPr>
          <w:instrText xml:space="preserve"> PAGEREF _Toc25746748 \h </w:instrText>
        </w:r>
        <w:r w:rsidR="00992B6D">
          <w:rPr>
            <w:noProof/>
            <w:webHidden/>
          </w:rPr>
        </w:r>
        <w:r w:rsidR="00992B6D">
          <w:rPr>
            <w:noProof/>
            <w:webHidden/>
          </w:rPr>
          <w:fldChar w:fldCharType="separate"/>
        </w:r>
        <w:r w:rsidR="00992B6D">
          <w:rPr>
            <w:noProof/>
            <w:webHidden/>
          </w:rPr>
          <w:t>64</w:t>
        </w:r>
        <w:r w:rsidR="00992B6D">
          <w:rPr>
            <w:noProof/>
            <w:webHidden/>
          </w:rPr>
          <w:fldChar w:fldCharType="end"/>
        </w:r>
      </w:hyperlink>
    </w:p>
    <w:p w14:paraId="025B9620" w14:textId="66AA1ADB" w:rsidR="00992B6D" w:rsidRDefault="00475864">
      <w:pPr>
        <w:pStyle w:val="TOC4"/>
        <w:tabs>
          <w:tab w:val="right" w:leader="dot" w:pos="5030"/>
        </w:tabs>
        <w:rPr>
          <w:rFonts w:eastAsiaTheme="minorEastAsia"/>
          <w:smallCaps w:val="0"/>
          <w:noProof/>
          <w:sz w:val="22"/>
          <w:lang w:val="en-US" w:eastAsia="en-US" w:bidi="ar-SA"/>
        </w:rPr>
      </w:pPr>
      <w:hyperlink w:anchor="_Toc25746749" w:history="1">
        <w:r w:rsidR="00992B6D" w:rsidRPr="005146B0">
          <w:rPr>
            <w:rStyle w:val="Hyperlink"/>
            <w:noProof/>
          </w:rPr>
          <w:t>Azure Active Directory Premium</w:t>
        </w:r>
        <w:r w:rsidR="00992B6D">
          <w:rPr>
            <w:noProof/>
            <w:webHidden/>
          </w:rPr>
          <w:tab/>
        </w:r>
        <w:r w:rsidR="00992B6D">
          <w:rPr>
            <w:noProof/>
            <w:webHidden/>
          </w:rPr>
          <w:fldChar w:fldCharType="begin"/>
        </w:r>
        <w:r w:rsidR="00992B6D">
          <w:rPr>
            <w:noProof/>
            <w:webHidden/>
          </w:rPr>
          <w:instrText xml:space="preserve"> PAGEREF _Toc25746749 \h </w:instrText>
        </w:r>
        <w:r w:rsidR="00992B6D">
          <w:rPr>
            <w:noProof/>
            <w:webHidden/>
          </w:rPr>
        </w:r>
        <w:r w:rsidR="00992B6D">
          <w:rPr>
            <w:noProof/>
            <w:webHidden/>
          </w:rPr>
          <w:fldChar w:fldCharType="separate"/>
        </w:r>
        <w:r w:rsidR="00992B6D">
          <w:rPr>
            <w:noProof/>
            <w:webHidden/>
          </w:rPr>
          <w:t>64</w:t>
        </w:r>
        <w:r w:rsidR="00992B6D">
          <w:rPr>
            <w:noProof/>
            <w:webHidden/>
          </w:rPr>
          <w:fldChar w:fldCharType="end"/>
        </w:r>
      </w:hyperlink>
    </w:p>
    <w:p w14:paraId="0E9AE92C" w14:textId="7F361C64" w:rsidR="00992B6D" w:rsidRDefault="00475864">
      <w:pPr>
        <w:pStyle w:val="TOC4"/>
        <w:tabs>
          <w:tab w:val="right" w:leader="dot" w:pos="5030"/>
        </w:tabs>
        <w:rPr>
          <w:rFonts w:eastAsiaTheme="minorEastAsia"/>
          <w:smallCaps w:val="0"/>
          <w:noProof/>
          <w:sz w:val="22"/>
          <w:lang w:val="en-US" w:eastAsia="en-US" w:bidi="ar-SA"/>
        </w:rPr>
      </w:pPr>
      <w:hyperlink w:anchor="_Toc25746750" w:history="1">
        <w:r w:rsidR="00992B6D" w:rsidRPr="005146B0">
          <w:rPr>
            <w:rStyle w:val="Hyperlink"/>
            <w:noProof/>
          </w:rPr>
          <w:t>Azure Information Protection Premium</w:t>
        </w:r>
        <w:r w:rsidR="00992B6D">
          <w:rPr>
            <w:noProof/>
            <w:webHidden/>
          </w:rPr>
          <w:tab/>
        </w:r>
        <w:r w:rsidR="00992B6D">
          <w:rPr>
            <w:noProof/>
            <w:webHidden/>
          </w:rPr>
          <w:fldChar w:fldCharType="begin"/>
        </w:r>
        <w:r w:rsidR="00992B6D">
          <w:rPr>
            <w:noProof/>
            <w:webHidden/>
          </w:rPr>
          <w:instrText xml:space="preserve"> PAGEREF _Toc25746750 \h </w:instrText>
        </w:r>
        <w:r w:rsidR="00992B6D">
          <w:rPr>
            <w:noProof/>
            <w:webHidden/>
          </w:rPr>
        </w:r>
        <w:r w:rsidR="00992B6D">
          <w:rPr>
            <w:noProof/>
            <w:webHidden/>
          </w:rPr>
          <w:fldChar w:fldCharType="separate"/>
        </w:r>
        <w:r w:rsidR="00992B6D">
          <w:rPr>
            <w:noProof/>
            <w:webHidden/>
          </w:rPr>
          <w:t>65</w:t>
        </w:r>
        <w:r w:rsidR="00992B6D">
          <w:rPr>
            <w:noProof/>
            <w:webHidden/>
          </w:rPr>
          <w:fldChar w:fldCharType="end"/>
        </w:r>
      </w:hyperlink>
    </w:p>
    <w:p w14:paraId="67F00285" w14:textId="2C898D9A" w:rsidR="00992B6D" w:rsidRDefault="00475864">
      <w:pPr>
        <w:pStyle w:val="TOC4"/>
        <w:tabs>
          <w:tab w:val="right" w:leader="dot" w:pos="5030"/>
        </w:tabs>
        <w:rPr>
          <w:rFonts w:eastAsiaTheme="minorEastAsia"/>
          <w:smallCaps w:val="0"/>
          <w:noProof/>
          <w:sz w:val="22"/>
          <w:lang w:val="en-US" w:eastAsia="en-US" w:bidi="ar-SA"/>
        </w:rPr>
      </w:pPr>
      <w:hyperlink w:anchor="_Toc25746751" w:history="1">
        <w:r w:rsidR="00992B6D" w:rsidRPr="005146B0">
          <w:rPr>
            <w:rStyle w:val="Hyperlink"/>
            <w:noProof/>
          </w:rPr>
          <w:t>Service Azure Site Recovery – Basculement de Site Local vers Azure</w:t>
        </w:r>
        <w:r w:rsidR="00992B6D">
          <w:rPr>
            <w:noProof/>
            <w:webHidden/>
          </w:rPr>
          <w:tab/>
        </w:r>
        <w:r w:rsidR="00992B6D">
          <w:rPr>
            <w:noProof/>
            <w:webHidden/>
          </w:rPr>
          <w:fldChar w:fldCharType="begin"/>
        </w:r>
        <w:r w:rsidR="00992B6D">
          <w:rPr>
            <w:noProof/>
            <w:webHidden/>
          </w:rPr>
          <w:instrText xml:space="preserve"> PAGEREF _Toc25746751 \h </w:instrText>
        </w:r>
        <w:r w:rsidR="00992B6D">
          <w:rPr>
            <w:noProof/>
            <w:webHidden/>
          </w:rPr>
        </w:r>
        <w:r w:rsidR="00992B6D">
          <w:rPr>
            <w:noProof/>
            <w:webHidden/>
          </w:rPr>
          <w:fldChar w:fldCharType="separate"/>
        </w:r>
        <w:r w:rsidR="00992B6D">
          <w:rPr>
            <w:noProof/>
            <w:webHidden/>
          </w:rPr>
          <w:t>65</w:t>
        </w:r>
        <w:r w:rsidR="00992B6D">
          <w:rPr>
            <w:noProof/>
            <w:webHidden/>
          </w:rPr>
          <w:fldChar w:fldCharType="end"/>
        </w:r>
      </w:hyperlink>
    </w:p>
    <w:p w14:paraId="7D9D885F" w14:textId="29F32B21" w:rsidR="00992B6D" w:rsidRDefault="00475864">
      <w:pPr>
        <w:pStyle w:val="TOC4"/>
        <w:tabs>
          <w:tab w:val="right" w:leader="dot" w:pos="5030"/>
        </w:tabs>
        <w:rPr>
          <w:rFonts w:eastAsiaTheme="minorEastAsia"/>
          <w:smallCaps w:val="0"/>
          <w:noProof/>
          <w:sz w:val="22"/>
          <w:lang w:val="en-US" w:eastAsia="en-US" w:bidi="ar-SA"/>
        </w:rPr>
      </w:pPr>
      <w:hyperlink w:anchor="_Toc25746752" w:history="1">
        <w:r w:rsidR="00992B6D" w:rsidRPr="005146B0">
          <w:rPr>
            <w:rStyle w:val="Hyperlink"/>
            <w:noProof/>
          </w:rPr>
          <w:t>Service Azure Site Recovery – Basculement de Site Local vers Site Local</w:t>
        </w:r>
        <w:r w:rsidR="00992B6D">
          <w:rPr>
            <w:noProof/>
            <w:webHidden/>
          </w:rPr>
          <w:tab/>
        </w:r>
        <w:r w:rsidR="00992B6D">
          <w:rPr>
            <w:noProof/>
            <w:webHidden/>
          </w:rPr>
          <w:fldChar w:fldCharType="begin"/>
        </w:r>
        <w:r w:rsidR="00992B6D">
          <w:rPr>
            <w:noProof/>
            <w:webHidden/>
          </w:rPr>
          <w:instrText xml:space="preserve"> PAGEREF _Toc25746752 \h </w:instrText>
        </w:r>
        <w:r w:rsidR="00992B6D">
          <w:rPr>
            <w:noProof/>
            <w:webHidden/>
          </w:rPr>
        </w:r>
        <w:r w:rsidR="00992B6D">
          <w:rPr>
            <w:noProof/>
            <w:webHidden/>
          </w:rPr>
          <w:fldChar w:fldCharType="separate"/>
        </w:r>
        <w:r w:rsidR="00992B6D">
          <w:rPr>
            <w:noProof/>
            <w:webHidden/>
          </w:rPr>
          <w:t>66</w:t>
        </w:r>
        <w:r w:rsidR="00992B6D">
          <w:rPr>
            <w:noProof/>
            <w:webHidden/>
          </w:rPr>
          <w:fldChar w:fldCharType="end"/>
        </w:r>
      </w:hyperlink>
    </w:p>
    <w:p w14:paraId="1F859F79" w14:textId="1BE24367" w:rsidR="00992B6D" w:rsidRDefault="00475864">
      <w:pPr>
        <w:pStyle w:val="TOC4"/>
        <w:tabs>
          <w:tab w:val="right" w:leader="dot" w:pos="5030"/>
        </w:tabs>
        <w:rPr>
          <w:rFonts w:eastAsiaTheme="minorEastAsia"/>
          <w:smallCaps w:val="0"/>
          <w:noProof/>
          <w:sz w:val="22"/>
          <w:lang w:val="en-US" w:eastAsia="en-US" w:bidi="ar-SA"/>
        </w:rPr>
      </w:pPr>
      <w:hyperlink w:anchor="_Toc25746753" w:history="1">
        <w:r w:rsidR="00992B6D" w:rsidRPr="005146B0">
          <w:rPr>
            <w:rStyle w:val="Hyperlink"/>
            <w:noProof/>
          </w:rPr>
          <w:t>Service Azure Site Recovery – Basculement d’Azure vers Azure</w:t>
        </w:r>
        <w:r w:rsidR="00992B6D">
          <w:rPr>
            <w:noProof/>
            <w:webHidden/>
          </w:rPr>
          <w:tab/>
        </w:r>
        <w:r w:rsidR="00992B6D">
          <w:rPr>
            <w:noProof/>
            <w:webHidden/>
          </w:rPr>
          <w:fldChar w:fldCharType="begin"/>
        </w:r>
        <w:r w:rsidR="00992B6D">
          <w:rPr>
            <w:noProof/>
            <w:webHidden/>
          </w:rPr>
          <w:instrText xml:space="preserve"> PAGEREF _Toc25746753 \h </w:instrText>
        </w:r>
        <w:r w:rsidR="00992B6D">
          <w:rPr>
            <w:noProof/>
            <w:webHidden/>
          </w:rPr>
        </w:r>
        <w:r w:rsidR="00992B6D">
          <w:rPr>
            <w:noProof/>
            <w:webHidden/>
          </w:rPr>
          <w:fldChar w:fldCharType="separate"/>
        </w:r>
        <w:r w:rsidR="00992B6D">
          <w:rPr>
            <w:noProof/>
            <w:webHidden/>
          </w:rPr>
          <w:t>66</w:t>
        </w:r>
        <w:r w:rsidR="00992B6D">
          <w:rPr>
            <w:noProof/>
            <w:webHidden/>
          </w:rPr>
          <w:fldChar w:fldCharType="end"/>
        </w:r>
      </w:hyperlink>
    </w:p>
    <w:p w14:paraId="64439B47" w14:textId="7FD65F18" w:rsidR="00992B6D" w:rsidRDefault="00475864">
      <w:pPr>
        <w:pStyle w:val="TOC4"/>
        <w:tabs>
          <w:tab w:val="right" w:leader="dot" w:pos="5030"/>
        </w:tabs>
        <w:rPr>
          <w:rFonts w:eastAsiaTheme="minorEastAsia"/>
          <w:smallCaps w:val="0"/>
          <w:noProof/>
          <w:sz w:val="22"/>
          <w:lang w:val="en-US" w:eastAsia="en-US" w:bidi="ar-SA"/>
        </w:rPr>
      </w:pPr>
      <w:hyperlink w:anchor="_Toc25746754" w:history="1">
        <w:r w:rsidR="00992B6D" w:rsidRPr="005146B0">
          <w:rPr>
            <w:rStyle w:val="Hyperlink"/>
            <w:noProof/>
          </w:rPr>
          <w:t>Service Multi-Factor Authentication</w:t>
        </w:r>
        <w:r w:rsidR="00992B6D">
          <w:rPr>
            <w:noProof/>
            <w:webHidden/>
          </w:rPr>
          <w:tab/>
        </w:r>
        <w:r w:rsidR="00992B6D">
          <w:rPr>
            <w:noProof/>
            <w:webHidden/>
          </w:rPr>
          <w:fldChar w:fldCharType="begin"/>
        </w:r>
        <w:r w:rsidR="00992B6D">
          <w:rPr>
            <w:noProof/>
            <w:webHidden/>
          </w:rPr>
          <w:instrText xml:space="preserve"> PAGEREF _Toc25746754 \h </w:instrText>
        </w:r>
        <w:r w:rsidR="00992B6D">
          <w:rPr>
            <w:noProof/>
            <w:webHidden/>
          </w:rPr>
        </w:r>
        <w:r w:rsidR="00992B6D">
          <w:rPr>
            <w:noProof/>
            <w:webHidden/>
          </w:rPr>
          <w:fldChar w:fldCharType="separate"/>
        </w:r>
        <w:r w:rsidR="00992B6D">
          <w:rPr>
            <w:noProof/>
            <w:webHidden/>
          </w:rPr>
          <w:t>67</w:t>
        </w:r>
        <w:r w:rsidR="00992B6D">
          <w:rPr>
            <w:noProof/>
            <w:webHidden/>
          </w:rPr>
          <w:fldChar w:fldCharType="end"/>
        </w:r>
      </w:hyperlink>
    </w:p>
    <w:p w14:paraId="10A8E716" w14:textId="5C5BCC7F" w:rsidR="00992B6D" w:rsidRDefault="00475864">
      <w:pPr>
        <w:pStyle w:val="TOC4"/>
        <w:tabs>
          <w:tab w:val="right" w:leader="dot" w:pos="5030"/>
        </w:tabs>
        <w:rPr>
          <w:rFonts w:eastAsiaTheme="minorEastAsia"/>
          <w:smallCaps w:val="0"/>
          <w:noProof/>
          <w:sz w:val="22"/>
          <w:lang w:val="en-US" w:eastAsia="en-US" w:bidi="ar-SA"/>
        </w:rPr>
      </w:pPr>
      <w:hyperlink w:anchor="_Toc25746755" w:history="1">
        <w:r w:rsidR="00992B6D" w:rsidRPr="005146B0">
          <w:rPr>
            <w:rStyle w:val="Hyperlink"/>
            <w:noProof/>
          </w:rPr>
          <w:t>Service StorSimple</w:t>
        </w:r>
        <w:r w:rsidR="00992B6D">
          <w:rPr>
            <w:noProof/>
            <w:webHidden/>
          </w:rPr>
          <w:tab/>
        </w:r>
        <w:r w:rsidR="00992B6D">
          <w:rPr>
            <w:noProof/>
            <w:webHidden/>
          </w:rPr>
          <w:fldChar w:fldCharType="begin"/>
        </w:r>
        <w:r w:rsidR="00992B6D">
          <w:rPr>
            <w:noProof/>
            <w:webHidden/>
          </w:rPr>
          <w:instrText xml:space="preserve"> PAGEREF _Toc25746755 \h </w:instrText>
        </w:r>
        <w:r w:rsidR="00992B6D">
          <w:rPr>
            <w:noProof/>
            <w:webHidden/>
          </w:rPr>
        </w:r>
        <w:r w:rsidR="00992B6D">
          <w:rPr>
            <w:noProof/>
            <w:webHidden/>
          </w:rPr>
          <w:fldChar w:fldCharType="separate"/>
        </w:r>
        <w:r w:rsidR="00992B6D">
          <w:rPr>
            <w:noProof/>
            <w:webHidden/>
          </w:rPr>
          <w:t>67</w:t>
        </w:r>
        <w:r w:rsidR="00992B6D">
          <w:rPr>
            <w:noProof/>
            <w:webHidden/>
          </w:rPr>
          <w:fldChar w:fldCharType="end"/>
        </w:r>
      </w:hyperlink>
    </w:p>
    <w:p w14:paraId="3AB5E6DF" w14:textId="0AFD1E62" w:rsidR="00992B6D" w:rsidRDefault="00475864">
      <w:pPr>
        <w:pStyle w:val="TOC4"/>
        <w:tabs>
          <w:tab w:val="right" w:leader="dot" w:pos="5030"/>
        </w:tabs>
        <w:rPr>
          <w:rFonts w:eastAsiaTheme="minorEastAsia"/>
          <w:smallCaps w:val="0"/>
          <w:noProof/>
          <w:sz w:val="22"/>
          <w:lang w:val="en-US" w:eastAsia="en-US" w:bidi="ar-SA"/>
        </w:rPr>
      </w:pPr>
      <w:hyperlink w:anchor="_Toc25746756" w:history="1">
        <w:r w:rsidR="00992B6D" w:rsidRPr="005146B0">
          <w:rPr>
            <w:rStyle w:val="Hyperlink"/>
            <w:noProof/>
          </w:rPr>
          <w:t>StorSimple Data Manager</w:t>
        </w:r>
        <w:r w:rsidR="00992B6D">
          <w:rPr>
            <w:noProof/>
            <w:webHidden/>
          </w:rPr>
          <w:tab/>
        </w:r>
        <w:r w:rsidR="00992B6D">
          <w:rPr>
            <w:noProof/>
            <w:webHidden/>
          </w:rPr>
          <w:fldChar w:fldCharType="begin"/>
        </w:r>
        <w:r w:rsidR="00992B6D">
          <w:rPr>
            <w:noProof/>
            <w:webHidden/>
          </w:rPr>
          <w:instrText xml:space="preserve"> PAGEREF _Toc25746756 \h </w:instrText>
        </w:r>
        <w:r w:rsidR="00992B6D">
          <w:rPr>
            <w:noProof/>
            <w:webHidden/>
          </w:rPr>
        </w:r>
        <w:r w:rsidR="00992B6D">
          <w:rPr>
            <w:noProof/>
            <w:webHidden/>
          </w:rPr>
          <w:fldChar w:fldCharType="separate"/>
        </w:r>
        <w:r w:rsidR="00992B6D">
          <w:rPr>
            <w:noProof/>
            <w:webHidden/>
          </w:rPr>
          <w:t>68</w:t>
        </w:r>
        <w:r w:rsidR="00992B6D">
          <w:rPr>
            <w:noProof/>
            <w:webHidden/>
          </w:rPr>
          <w:fldChar w:fldCharType="end"/>
        </w:r>
      </w:hyperlink>
    </w:p>
    <w:p w14:paraId="6F66D578" w14:textId="4B14D3E9" w:rsidR="00992B6D" w:rsidRDefault="00475864">
      <w:pPr>
        <w:pStyle w:val="TOC2"/>
        <w:tabs>
          <w:tab w:val="right" w:leader="dot" w:pos="5030"/>
        </w:tabs>
        <w:rPr>
          <w:rFonts w:eastAsiaTheme="minorEastAsia"/>
          <w:b w:val="0"/>
          <w:smallCaps w:val="0"/>
          <w:noProof/>
          <w:sz w:val="22"/>
          <w:lang w:val="en-US" w:eastAsia="en-US" w:bidi="ar-SA"/>
        </w:rPr>
      </w:pPr>
      <w:hyperlink w:anchor="_Toc25746757" w:history="1">
        <w:r w:rsidR="00992B6D" w:rsidRPr="005146B0">
          <w:rPr>
            <w:rStyle w:val="Hyperlink"/>
            <w:noProof/>
            <w:lang w:val="en-US" w:eastAsia="en-US"/>
          </w:rPr>
          <w:t>Autres services en ligne</w:t>
        </w:r>
        <w:r w:rsidR="00992B6D">
          <w:rPr>
            <w:noProof/>
            <w:webHidden/>
          </w:rPr>
          <w:tab/>
        </w:r>
        <w:r w:rsidR="00992B6D">
          <w:rPr>
            <w:noProof/>
            <w:webHidden/>
          </w:rPr>
          <w:fldChar w:fldCharType="begin"/>
        </w:r>
        <w:r w:rsidR="00992B6D">
          <w:rPr>
            <w:noProof/>
            <w:webHidden/>
          </w:rPr>
          <w:instrText xml:space="preserve"> PAGEREF _Toc25746757 \h </w:instrText>
        </w:r>
        <w:r w:rsidR="00992B6D">
          <w:rPr>
            <w:noProof/>
            <w:webHidden/>
          </w:rPr>
        </w:r>
        <w:r w:rsidR="00992B6D">
          <w:rPr>
            <w:noProof/>
            <w:webHidden/>
          </w:rPr>
          <w:fldChar w:fldCharType="separate"/>
        </w:r>
        <w:r w:rsidR="00992B6D">
          <w:rPr>
            <w:noProof/>
            <w:webHidden/>
          </w:rPr>
          <w:t>68</w:t>
        </w:r>
        <w:r w:rsidR="00992B6D">
          <w:rPr>
            <w:noProof/>
            <w:webHidden/>
          </w:rPr>
          <w:fldChar w:fldCharType="end"/>
        </w:r>
      </w:hyperlink>
    </w:p>
    <w:p w14:paraId="57186257" w14:textId="40B081AA" w:rsidR="00992B6D" w:rsidRDefault="00475864">
      <w:pPr>
        <w:pStyle w:val="TOC4"/>
        <w:tabs>
          <w:tab w:val="right" w:leader="dot" w:pos="5030"/>
        </w:tabs>
        <w:rPr>
          <w:rFonts w:eastAsiaTheme="minorEastAsia"/>
          <w:smallCaps w:val="0"/>
          <w:noProof/>
          <w:sz w:val="22"/>
          <w:lang w:val="en-US" w:eastAsia="en-US" w:bidi="ar-SA"/>
        </w:rPr>
      </w:pPr>
      <w:hyperlink w:anchor="_Toc25746758" w:history="1">
        <w:r w:rsidR="00992B6D" w:rsidRPr="005146B0">
          <w:rPr>
            <w:rStyle w:val="Hyperlink"/>
            <w:noProof/>
            <w:lang w:val="en-US" w:eastAsia="en-US"/>
          </w:rPr>
          <w:t>Bing Maps Plateforme Entreprise</w:t>
        </w:r>
        <w:r w:rsidR="00992B6D">
          <w:rPr>
            <w:noProof/>
            <w:webHidden/>
          </w:rPr>
          <w:tab/>
        </w:r>
        <w:r w:rsidR="00992B6D">
          <w:rPr>
            <w:noProof/>
            <w:webHidden/>
          </w:rPr>
          <w:fldChar w:fldCharType="begin"/>
        </w:r>
        <w:r w:rsidR="00992B6D">
          <w:rPr>
            <w:noProof/>
            <w:webHidden/>
          </w:rPr>
          <w:instrText xml:space="preserve"> PAGEREF _Toc25746758 \h </w:instrText>
        </w:r>
        <w:r w:rsidR="00992B6D">
          <w:rPr>
            <w:noProof/>
            <w:webHidden/>
          </w:rPr>
        </w:r>
        <w:r w:rsidR="00992B6D">
          <w:rPr>
            <w:noProof/>
            <w:webHidden/>
          </w:rPr>
          <w:fldChar w:fldCharType="separate"/>
        </w:r>
        <w:r w:rsidR="00992B6D">
          <w:rPr>
            <w:noProof/>
            <w:webHidden/>
          </w:rPr>
          <w:t>68</w:t>
        </w:r>
        <w:r w:rsidR="00992B6D">
          <w:rPr>
            <w:noProof/>
            <w:webHidden/>
          </w:rPr>
          <w:fldChar w:fldCharType="end"/>
        </w:r>
      </w:hyperlink>
    </w:p>
    <w:p w14:paraId="5D818649" w14:textId="484044E0" w:rsidR="00992B6D" w:rsidRDefault="00475864">
      <w:pPr>
        <w:pStyle w:val="TOC4"/>
        <w:tabs>
          <w:tab w:val="right" w:leader="dot" w:pos="5030"/>
        </w:tabs>
        <w:rPr>
          <w:rFonts w:eastAsiaTheme="minorEastAsia"/>
          <w:smallCaps w:val="0"/>
          <w:noProof/>
          <w:sz w:val="22"/>
          <w:lang w:val="en-US" w:eastAsia="en-US" w:bidi="ar-SA"/>
        </w:rPr>
      </w:pPr>
      <w:hyperlink w:anchor="_Toc25746759" w:history="1">
        <w:r w:rsidR="00992B6D" w:rsidRPr="005146B0">
          <w:rPr>
            <w:rStyle w:val="Hyperlink"/>
            <w:noProof/>
            <w:lang w:eastAsia="en-US"/>
          </w:rPr>
          <w:t>Bing Maps Gestion des ressources mobiles</w:t>
        </w:r>
        <w:r w:rsidR="00992B6D">
          <w:rPr>
            <w:noProof/>
            <w:webHidden/>
          </w:rPr>
          <w:tab/>
        </w:r>
        <w:r w:rsidR="00992B6D">
          <w:rPr>
            <w:noProof/>
            <w:webHidden/>
          </w:rPr>
          <w:fldChar w:fldCharType="begin"/>
        </w:r>
        <w:r w:rsidR="00992B6D">
          <w:rPr>
            <w:noProof/>
            <w:webHidden/>
          </w:rPr>
          <w:instrText xml:space="preserve"> PAGEREF _Toc25746759 \h </w:instrText>
        </w:r>
        <w:r w:rsidR="00992B6D">
          <w:rPr>
            <w:noProof/>
            <w:webHidden/>
          </w:rPr>
        </w:r>
        <w:r w:rsidR="00992B6D">
          <w:rPr>
            <w:noProof/>
            <w:webHidden/>
          </w:rPr>
          <w:fldChar w:fldCharType="separate"/>
        </w:r>
        <w:r w:rsidR="00992B6D">
          <w:rPr>
            <w:noProof/>
            <w:webHidden/>
          </w:rPr>
          <w:t>69</w:t>
        </w:r>
        <w:r w:rsidR="00992B6D">
          <w:rPr>
            <w:noProof/>
            <w:webHidden/>
          </w:rPr>
          <w:fldChar w:fldCharType="end"/>
        </w:r>
      </w:hyperlink>
    </w:p>
    <w:p w14:paraId="4D0980D3" w14:textId="741BE79C" w:rsidR="00992B6D" w:rsidRDefault="00475864">
      <w:pPr>
        <w:pStyle w:val="TOC4"/>
        <w:tabs>
          <w:tab w:val="right" w:leader="dot" w:pos="5030"/>
        </w:tabs>
        <w:rPr>
          <w:rFonts w:eastAsiaTheme="minorEastAsia"/>
          <w:smallCaps w:val="0"/>
          <w:noProof/>
          <w:sz w:val="22"/>
          <w:lang w:val="en-US" w:eastAsia="en-US" w:bidi="ar-SA"/>
        </w:rPr>
      </w:pPr>
      <w:hyperlink w:anchor="_Toc25746760" w:history="1">
        <w:r w:rsidR="00992B6D" w:rsidRPr="005146B0">
          <w:rPr>
            <w:rStyle w:val="Hyperlink"/>
            <w:noProof/>
          </w:rPr>
          <w:t>Application de sécurité de Microsoft Cloud</w:t>
        </w:r>
        <w:r w:rsidR="00992B6D">
          <w:rPr>
            <w:noProof/>
            <w:webHidden/>
          </w:rPr>
          <w:tab/>
        </w:r>
        <w:r w:rsidR="00992B6D">
          <w:rPr>
            <w:noProof/>
            <w:webHidden/>
          </w:rPr>
          <w:fldChar w:fldCharType="begin"/>
        </w:r>
        <w:r w:rsidR="00992B6D">
          <w:rPr>
            <w:noProof/>
            <w:webHidden/>
          </w:rPr>
          <w:instrText xml:space="preserve"> PAGEREF _Toc25746760 \h </w:instrText>
        </w:r>
        <w:r w:rsidR="00992B6D">
          <w:rPr>
            <w:noProof/>
            <w:webHidden/>
          </w:rPr>
        </w:r>
        <w:r w:rsidR="00992B6D">
          <w:rPr>
            <w:noProof/>
            <w:webHidden/>
          </w:rPr>
          <w:fldChar w:fldCharType="separate"/>
        </w:r>
        <w:r w:rsidR="00992B6D">
          <w:rPr>
            <w:noProof/>
            <w:webHidden/>
          </w:rPr>
          <w:t>69</w:t>
        </w:r>
        <w:r w:rsidR="00992B6D">
          <w:rPr>
            <w:noProof/>
            <w:webHidden/>
          </w:rPr>
          <w:fldChar w:fldCharType="end"/>
        </w:r>
      </w:hyperlink>
    </w:p>
    <w:p w14:paraId="00A0047C" w14:textId="64DC0187" w:rsidR="00992B6D" w:rsidRDefault="00475864">
      <w:pPr>
        <w:pStyle w:val="TOC4"/>
        <w:tabs>
          <w:tab w:val="right" w:leader="dot" w:pos="5030"/>
        </w:tabs>
        <w:rPr>
          <w:rFonts w:eastAsiaTheme="minorEastAsia"/>
          <w:smallCaps w:val="0"/>
          <w:noProof/>
          <w:sz w:val="22"/>
          <w:lang w:val="en-US" w:eastAsia="en-US" w:bidi="ar-SA"/>
        </w:rPr>
      </w:pPr>
      <w:hyperlink w:anchor="_Toc25746761" w:history="1">
        <w:r w:rsidR="00992B6D" w:rsidRPr="005146B0">
          <w:rPr>
            <w:rStyle w:val="Hyperlink"/>
            <w:noProof/>
          </w:rPr>
          <w:t>Microsoft Flow</w:t>
        </w:r>
        <w:r w:rsidR="00992B6D">
          <w:rPr>
            <w:noProof/>
            <w:webHidden/>
          </w:rPr>
          <w:tab/>
        </w:r>
        <w:r w:rsidR="00992B6D">
          <w:rPr>
            <w:noProof/>
            <w:webHidden/>
          </w:rPr>
          <w:fldChar w:fldCharType="begin"/>
        </w:r>
        <w:r w:rsidR="00992B6D">
          <w:rPr>
            <w:noProof/>
            <w:webHidden/>
          </w:rPr>
          <w:instrText xml:space="preserve"> PAGEREF _Toc25746761 \h </w:instrText>
        </w:r>
        <w:r w:rsidR="00992B6D">
          <w:rPr>
            <w:noProof/>
            <w:webHidden/>
          </w:rPr>
        </w:r>
        <w:r w:rsidR="00992B6D">
          <w:rPr>
            <w:noProof/>
            <w:webHidden/>
          </w:rPr>
          <w:fldChar w:fldCharType="separate"/>
        </w:r>
        <w:r w:rsidR="00992B6D">
          <w:rPr>
            <w:noProof/>
            <w:webHidden/>
          </w:rPr>
          <w:t>70</w:t>
        </w:r>
        <w:r w:rsidR="00992B6D">
          <w:rPr>
            <w:noProof/>
            <w:webHidden/>
          </w:rPr>
          <w:fldChar w:fldCharType="end"/>
        </w:r>
      </w:hyperlink>
    </w:p>
    <w:p w14:paraId="15D8B6C2" w14:textId="3D41120F" w:rsidR="00992B6D" w:rsidRDefault="00475864">
      <w:pPr>
        <w:pStyle w:val="TOC4"/>
        <w:tabs>
          <w:tab w:val="right" w:leader="dot" w:pos="5030"/>
        </w:tabs>
        <w:rPr>
          <w:rFonts w:eastAsiaTheme="minorEastAsia"/>
          <w:smallCaps w:val="0"/>
          <w:noProof/>
          <w:sz w:val="22"/>
          <w:lang w:val="en-US" w:eastAsia="en-US" w:bidi="ar-SA"/>
        </w:rPr>
      </w:pPr>
      <w:hyperlink w:anchor="_Toc25746762" w:history="1">
        <w:r w:rsidR="00992B6D" w:rsidRPr="005146B0">
          <w:rPr>
            <w:rStyle w:val="Hyperlink"/>
            <w:noProof/>
          </w:rPr>
          <w:t>Microsoft Intune</w:t>
        </w:r>
        <w:r w:rsidR="00992B6D">
          <w:rPr>
            <w:noProof/>
            <w:webHidden/>
          </w:rPr>
          <w:tab/>
        </w:r>
        <w:r w:rsidR="00992B6D">
          <w:rPr>
            <w:noProof/>
            <w:webHidden/>
          </w:rPr>
          <w:fldChar w:fldCharType="begin"/>
        </w:r>
        <w:r w:rsidR="00992B6D">
          <w:rPr>
            <w:noProof/>
            <w:webHidden/>
          </w:rPr>
          <w:instrText xml:space="preserve"> PAGEREF _Toc25746762 \h </w:instrText>
        </w:r>
        <w:r w:rsidR="00992B6D">
          <w:rPr>
            <w:noProof/>
            <w:webHidden/>
          </w:rPr>
        </w:r>
        <w:r w:rsidR="00992B6D">
          <w:rPr>
            <w:noProof/>
            <w:webHidden/>
          </w:rPr>
          <w:fldChar w:fldCharType="separate"/>
        </w:r>
        <w:r w:rsidR="00992B6D">
          <w:rPr>
            <w:noProof/>
            <w:webHidden/>
          </w:rPr>
          <w:t>70</w:t>
        </w:r>
        <w:r w:rsidR="00992B6D">
          <w:rPr>
            <w:noProof/>
            <w:webHidden/>
          </w:rPr>
          <w:fldChar w:fldCharType="end"/>
        </w:r>
      </w:hyperlink>
    </w:p>
    <w:p w14:paraId="35E7DC50" w14:textId="5ECB6372" w:rsidR="00992B6D" w:rsidRDefault="00475864">
      <w:pPr>
        <w:pStyle w:val="TOC4"/>
        <w:tabs>
          <w:tab w:val="right" w:leader="dot" w:pos="5030"/>
        </w:tabs>
        <w:rPr>
          <w:rFonts w:eastAsiaTheme="minorEastAsia"/>
          <w:smallCaps w:val="0"/>
          <w:noProof/>
          <w:sz w:val="22"/>
          <w:lang w:val="en-US" w:eastAsia="en-US" w:bidi="ar-SA"/>
        </w:rPr>
      </w:pPr>
      <w:hyperlink w:anchor="_Toc25746763" w:history="1">
        <w:r w:rsidR="00992B6D" w:rsidRPr="005146B0">
          <w:rPr>
            <w:rStyle w:val="Hyperlink"/>
            <w:noProof/>
          </w:rPr>
          <w:t>Microsoft Kaizala Pro</w:t>
        </w:r>
        <w:r w:rsidR="00992B6D">
          <w:rPr>
            <w:noProof/>
            <w:webHidden/>
          </w:rPr>
          <w:tab/>
        </w:r>
        <w:r w:rsidR="00992B6D">
          <w:rPr>
            <w:noProof/>
            <w:webHidden/>
          </w:rPr>
          <w:fldChar w:fldCharType="begin"/>
        </w:r>
        <w:r w:rsidR="00992B6D">
          <w:rPr>
            <w:noProof/>
            <w:webHidden/>
          </w:rPr>
          <w:instrText xml:space="preserve"> PAGEREF _Toc25746763 \h </w:instrText>
        </w:r>
        <w:r w:rsidR="00992B6D">
          <w:rPr>
            <w:noProof/>
            <w:webHidden/>
          </w:rPr>
        </w:r>
        <w:r w:rsidR="00992B6D">
          <w:rPr>
            <w:noProof/>
            <w:webHidden/>
          </w:rPr>
          <w:fldChar w:fldCharType="separate"/>
        </w:r>
        <w:r w:rsidR="00992B6D">
          <w:rPr>
            <w:noProof/>
            <w:webHidden/>
          </w:rPr>
          <w:t>70</w:t>
        </w:r>
        <w:r w:rsidR="00992B6D">
          <w:rPr>
            <w:noProof/>
            <w:webHidden/>
          </w:rPr>
          <w:fldChar w:fldCharType="end"/>
        </w:r>
      </w:hyperlink>
    </w:p>
    <w:p w14:paraId="1AFBB202" w14:textId="4CB7243B" w:rsidR="00992B6D" w:rsidRDefault="00475864">
      <w:pPr>
        <w:pStyle w:val="TOC4"/>
        <w:tabs>
          <w:tab w:val="right" w:leader="dot" w:pos="5030"/>
        </w:tabs>
        <w:rPr>
          <w:rFonts w:eastAsiaTheme="minorEastAsia"/>
          <w:smallCaps w:val="0"/>
          <w:noProof/>
          <w:sz w:val="22"/>
          <w:lang w:val="en-US" w:eastAsia="en-US" w:bidi="ar-SA"/>
        </w:rPr>
      </w:pPr>
      <w:hyperlink w:anchor="_Toc25746764" w:history="1">
        <w:r w:rsidR="00992B6D" w:rsidRPr="005146B0">
          <w:rPr>
            <w:rStyle w:val="Hyperlink"/>
            <w:noProof/>
          </w:rPr>
          <w:t>Microsoft PowerApps</w:t>
        </w:r>
        <w:r w:rsidR="00992B6D">
          <w:rPr>
            <w:noProof/>
            <w:webHidden/>
          </w:rPr>
          <w:tab/>
        </w:r>
        <w:r w:rsidR="00992B6D">
          <w:rPr>
            <w:noProof/>
            <w:webHidden/>
          </w:rPr>
          <w:fldChar w:fldCharType="begin"/>
        </w:r>
        <w:r w:rsidR="00992B6D">
          <w:rPr>
            <w:noProof/>
            <w:webHidden/>
          </w:rPr>
          <w:instrText xml:space="preserve"> PAGEREF _Toc25746764 \h </w:instrText>
        </w:r>
        <w:r w:rsidR="00992B6D">
          <w:rPr>
            <w:noProof/>
            <w:webHidden/>
          </w:rPr>
        </w:r>
        <w:r w:rsidR="00992B6D">
          <w:rPr>
            <w:noProof/>
            <w:webHidden/>
          </w:rPr>
          <w:fldChar w:fldCharType="separate"/>
        </w:r>
        <w:r w:rsidR="00992B6D">
          <w:rPr>
            <w:noProof/>
            <w:webHidden/>
          </w:rPr>
          <w:t>71</w:t>
        </w:r>
        <w:r w:rsidR="00992B6D">
          <w:rPr>
            <w:noProof/>
            <w:webHidden/>
          </w:rPr>
          <w:fldChar w:fldCharType="end"/>
        </w:r>
      </w:hyperlink>
    </w:p>
    <w:p w14:paraId="44E8B6B7" w14:textId="3367BC43" w:rsidR="00992B6D" w:rsidRDefault="00475864">
      <w:pPr>
        <w:pStyle w:val="TOC4"/>
        <w:tabs>
          <w:tab w:val="right" w:leader="dot" w:pos="5030"/>
        </w:tabs>
        <w:rPr>
          <w:rFonts w:eastAsiaTheme="minorEastAsia"/>
          <w:smallCaps w:val="0"/>
          <w:noProof/>
          <w:sz w:val="22"/>
          <w:lang w:val="en-US" w:eastAsia="en-US" w:bidi="ar-SA"/>
        </w:rPr>
      </w:pPr>
      <w:hyperlink w:anchor="_Toc25746765" w:history="1">
        <w:r w:rsidR="00992B6D" w:rsidRPr="005146B0">
          <w:rPr>
            <w:rStyle w:val="Hyperlink"/>
            <w:noProof/>
          </w:rPr>
          <w:t>Minecraft : Education Edition</w:t>
        </w:r>
        <w:r w:rsidR="00992B6D">
          <w:rPr>
            <w:noProof/>
            <w:webHidden/>
          </w:rPr>
          <w:tab/>
        </w:r>
        <w:r w:rsidR="00992B6D">
          <w:rPr>
            <w:noProof/>
            <w:webHidden/>
          </w:rPr>
          <w:fldChar w:fldCharType="begin"/>
        </w:r>
        <w:r w:rsidR="00992B6D">
          <w:rPr>
            <w:noProof/>
            <w:webHidden/>
          </w:rPr>
          <w:instrText xml:space="preserve"> PAGEREF _Toc25746765 \h </w:instrText>
        </w:r>
        <w:r w:rsidR="00992B6D">
          <w:rPr>
            <w:noProof/>
            <w:webHidden/>
          </w:rPr>
        </w:r>
        <w:r w:rsidR="00992B6D">
          <w:rPr>
            <w:noProof/>
            <w:webHidden/>
          </w:rPr>
          <w:fldChar w:fldCharType="separate"/>
        </w:r>
        <w:r w:rsidR="00992B6D">
          <w:rPr>
            <w:noProof/>
            <w:webHidden/>
          </w:rPr>
          <w:t>71</w:t>
        </w:r>
        <w:r w:rsidR="00992B6D">
          <w:rPr>
            <w:noProof/>
            <w:webHidden/>
          </w:rPr>
          <w:fldChar w:fldCharType="end"/>
        </w:r>
      </w:hyperlink>
    </w:p>
    <w:p w14:paraId="2EB668F7" w14:textId="41A31D0A" w:rsidR="00992B6D" w:rsidRDefault="00475864">
      <w:pPr>
        <w:pStyle w:val="TOC4"/>
        <w:tabs>
          <w:tab w:val="right" w:leader="dot" w:pos="5030"/>
        </w:tabs>
        <w:rPr>
          <w:rFonts w:eastAsiaTheme="minorEastAsia"/>
          <w:smallCaps w:val="0"/>
          <w:noProof/>
          <w:sz w:val="22"/>
          <w:lang w:val="en-US" w:eastAsia="en-US" w:bidi="ar-SA"/>
        </w:rPr>
      </w:pPr>
      <w:hyperlink w:anchor="_Toc25746766" w:history="1">
        <w:r w:rsidR="00992B6D" w:rsidRPr="005146B0">
          <w:rPr>
            <w:rStyle w:val="Hyperlink"/>
            <w:noProof/>
          </w:rPr>
          <w:t>Power BI Embedded</w:t>
        </w:r>
        <w:r w:rsidR="00992B6D">
          <w:rPr>
            <w:noProof/>
            <w:webHidden/>
          </w:rPr>
          <w:tab/>
        </w:r>
        <w:r w:rsidR="00992B6D">
          <w:rPr>
            <w:noProof/>
            <w:webHidden/>
          </w:rPr>
          <w:fldChar w:fldCharType="begin"/>
        </w:r>
        <w:r w:rsidR="00992B6D">
          <w:rPr>
            <w:noProof/>
            <w:webHidden/>
          </w:rPr>
          <w:instrText xml:space="preserve"> PAGEREF _Toc25746766 \h </w:instrText>
        </w:r>
        <w:r w:rsidR="00992B6D">
          <w:rPr>
            <w:noProof/>
            <w:webHidden/>
          </w:rPr>
        </w:r>
        <w:r w:rsidR="00992B6D">
          <w:rPr>
            <w:noProof/>
            <w:webHidden/>
          </w:rPr>
          <w:fldChar w:fldCharType="separate"/>
        </w:r>
        <w:r w:rsidR="00992B6D">
          <w:rPr>
            <w:noProof/>
            <w:webHidden/>
          </w:rPr>
          <w:t>71</w:t>
        </w:r>
        <w:r w:rsidR="00992B6D">
          <w:rPr>
            <w:noProof/>
            <w:webHidden/>
          </w:rPr>
          <w:fldChar w:fldCharType="end"/>
        </w:r>
      </w:hyperlink>
    </w:p>
    <w:p w14:paraId="26E5A772" w14:textId="0E6CEB74" w:rsidR="00992B6D" w:rsidRDefault="00475864">
      <w:pPr>
        <w:pStyle w:val="TOC4"/>
        <w:tabs>
          <w:tab w:val="right" w:leader="dot" w:pos="5030"/>
        </w:tabs>
        <w:rPr>
          <w:rFonts w:eastAsiaTheme="minorEastAsia"/>
          <w:smallCaps w:val="0"/>
          <w:noProof/>
          <w:sz w:val="22"/>
          <w:lang w:val="en-US" w:eastAsia="en-US" w:bidi="ar-SA"/>
        </w:rPr>
      </w:pPr>
      <w:hyperlink w:anchor="_Toc25746767" w:history="1">
        <w:r w:rsidR="00992B6D" w:rsidRPr="005146B0">
          <w:rPr>
            <w:rStyle w:val="Hyperlink"/>
            <w:noProof/>
          </w:rPr>
          <w:t>Power BI Premium</w:t>
        </w:r>
        <w:r w:rsidR="00992B6D">
          <w:rPr>
            <w:noProof/>
            <w:webHidden/>
          </w:rPr>
          <w:tab/>
        </w:r>
        <w:r w:rsidR="00992B6D">
          <w:rPr>
            <w:noProof/>
            <w:webHidden/>
          </w:rPr>
          <w:fldChar w:fldCharType="begin"/>
        </w:r>
        <w:r w:rsidR="00992B6D">
          <w:rPr>
            <w:noProof/>
            <w:webHidden/>
          </w:rPr>
          <w:instrText xml:space="preserve"> PAGEREF _Toc25746767 \h </w:instrText>
        </w:r>
        <w:r w:rsidR="00992B6D">
          <w:rPr>
            <w:noProof/>
            <w:webHidden/>
          </w:rPr>
        </w:r>
        <w:r w:rsidR="00992B6D">
          <w:rPr>
            <w:noProof/>
            <w:webHidden/>
          </w:rPr>
          <w:fldChar w:fldCharType="separate"/>
        </w:r>
        <w:r w:rsidR="00992B6D">
          <w:rPr>
            <w:noProof/>
            <w:webHidden/>
          </w:rPr>
          <w:t>72</w:t>
        </w:r>
        <w:r w:rsidR="00992B6D">
          <w:rPr>
            <w:noProof/>
            <w:webHidden/>
          </w:rPr>
          <w:fldChar w:fldCharType="end"/>
        </w:r>
      </w:hyperlink>
    </w:p>
    <w:p w14:paraId="5355807A" w14:textId="3F636F3D" w:rsidR="00992B6D" w:rsidRDefault="00475864">
      <w:pPr>
        <w:pStyle w:val="TOC4"/>
        <w:tabs>
          <w:tab w:val="right" w:leader="dot" w:pos="5030"/>
        </w:tabs>
        <w:rPr>
          <w:rFonts w:eastAsiaTheme="minorEastAsia"/>
          <w:smallCaps w:val="0"/>
          <w:noProof/>
          <w:sz w:val="22"/>
          <w:lang w:val="en-US" w:eastAsia="en-US" w:bidi="ar-SA"/>
        </w:rPr>
      </w:pPr>
      <w:hyperlink w:anchor="_Toc25746768" w:history="1">
        <w:r w:rsidR="00992B6D" w:rsidRPr="005146B0">
          <w:rPr>
            <w:rStyle w:val="Hyperlink"/>
            <w:noProof/>
            <w:lang w:eastAsia="en-US"/>
          </w:rPr>
          <w:t>Power BI Pro</w:t>
        </w:r>
        <w:r w:rsidR="00992B6D">
          <w:rPr>
            <w:noProof/>
            <w:webHidden/>
          </w:rPr>
          <w:tab/>
        </w:r>
        <w:r w:rsidR="00992B6D">
          <w:rPr>
            <w:noProof/>
            <w:webHidden/>
          </w:rPr>
          <w:fldChar w:fldCharType="begin"/>
        </w:r>
        <w:r w:rsidR="00992B6D">
          <w:rPr>
            <w:noProof/>
            <w:webHidden/>
          </w:rPr>
          <w:instrText xml:space="preserve"> PAGEREF _Toc25746768 \h </w:instrText>
        </w:r>
        <w:r w:rsidR="00992B6D">
          <w:rPr>
            <w:noProof/>
            <w:webHidden/>
          </w:rPr>
        </w:r>
        <w:r w:rsidR="00992B6D">
          <w:rPr>
            <w:noProof/>
            <w:webHidden/>
          </w:rPr>
          <w:fldChar w:fldCharType="separate"/>
        </w:r>
        <w:r w:rsidR="00992B6D">
          <w:rPr>
            <w:noProof/>
            <w:webHidden/>
          </w:rPr>
          <w:t>72</w:t>
        </w:r>
        <w:r w:rsidR="00992B6D">
          <w:rPr>
            <w:noProof/>
            <w:webHidden/>
          </w:rPr>
          <w:fldChar w:fldCharType="end"/>
        </w:r>
      </w:hyperlink>
    </w:p>
    <w:p w14:paraId="122EADC7" w14:textId="30C0C872" w:rsidR="00992B6D" w:rsidRDefault="00475864">
      <w:pPr>
        <w:pStyle w:val="TOC4"/>
        <w:tabs>
          <w:tab w:val="right" w:leader="dot" w:pos="5030"/>
        </w:tabs>
        <w:rPr>
          <w:rFonts w:eastAsiaTheme="minorEastAsia"/>
          <w:smallCaps w:val="0"/>
          <w:noProof/>
          <w:sz w:val="22"/>
          <w:lang w:val="en-US" w:eastAsia="en-US" w:bidi="ar-SA"/>
        </w:rPr>
      </w:pPr>
      <w:hyperlink w:anchor="_Toc25746769" w:history="1">
        <w:r w:rsidR="00992B6D" w:rsidRPr="005146B0">
          <w:rPr>
            <w:rStyle w:val="Hyperlink"/>
            <w:noProof/>
            <w:lang w:val="en-US" w:eastAsia="en-US"/>
          </w:rPr>
          <w:t>API Translator</w:t>
        </w:r>
        <w:r w:rsidR="00992B6D">
          <w:rPr>
            <w:noProof/>
            <w:webHidden/>
          </w:rPr>
          <w:tab/>
        </w:r>
        <w:r w:rsidR="00992B6D">
          <w:rPr>
            <w:noProof/>
            <w:webHidden/>
          </w:rPr>
          <w:fldChar w:fldCharType="begin"/>
        </w:r>
        <w:r w:rsidR="00992B6D">
          <w:rPr>
            <w:noProof/>
            <w:webHidden/>
          </w:rPr>
          <w:instrText xml:space="preserve"> PAGEREF _Toc25746769 \h </w:instrText>
        </w:r>
        <w:r w:rsidR="00992B6D">
          <w:rPr>
            <w:noProof/>
            <w:webHidden/>
          </w:rPr>
        </w:r>
        <w:r w:rsidR="00992B6D">
          <w:rPr>
            <w:noProof/>
            <w:webHidden/>
          </w:rPr>
          <w:fldChar w:fldCharType="separate"/>
        </w:r>
        <w:r w:rsidR="00992B6D">
          <w:rPr>
            <w:noProof/>
            <w:webHidden/>
          </w:rPr>
          <w:t>73</w:t>
        </w:r>
        <w:r w:rsidR="00992B6D">
          <w:rPr>
            <w:noProof/>
            <w:webHidden/>
          </w:rPr>
          <w:fldChar w:fldCharType="end"/>
        </w:r>
      </w:hyperlink>
    </w:p>
    <w:p w14:paraId="23CD5C86" w14:textId="5890B4A6" w:rsidR="00992B6D" w:rsidRDefault="00475864">
      <w:pPr>
        <w:pStyle w:val="TOC4"/>
        <w:tabs>
          <w:tab w:val="right" w:leader="dot" w:pos="5030"/>
        </w:tabs>
        <w:rPr>
          <w:rFonts w:eastAsiaTheme="minorEastAsia"/>
          <w:smallCaps w:val="0"/>
          <w:noProof/>
          <w:sz w:val="22"/>
          <w:lang w:val="en-US" w:eastAsia="en-US" w:bidi="ar-SA"/>
        </w:rPr>
      </w:pPr>
      <w:hyperlink w:anchor="_Toc25746770" w:history="1">
        <w:r w:rsidR="00992B6D" w:rsidRPr="005146B0">
          <w:rPr>
            <w:rStyle w:val="Hyperlink"/>
            <w:noProof/>
          </w:rPr>
          <w:t>Microsoft Defender - Protection Avancée Contre les Menaces</w:t>
        </w:r>
        <w:r w:rsidR="00992B6D">
          <w:rPr>
            <w:noProof/>
            <w:webHidden/>
          </w:rPr>
          <w:tab/>
        </w:r>
        <w:r w:rsidR="00992B6D">
          <w:rPr>
            <w:noProof/>
            <w:webHidden/>
          </w:rPr>
          <w:fldChar w:fldCharType="begin"/>
        </w:r>
        <w:r w:rsidR="00992B6D">
          <w:rPr>
            <w:noProof/>
            <w:webHidden/>
          </w:rPr>
          <w:instrText xml:space="preserve"> PAGEREF _Toc25746770 \h </w:instrText>
        </w:r>
        <w:r w:rsidR="00992B6D">
          <w:rPr>
            <w:noProof/>
            <w:webHidden/>
          </w:rPr>
        </w:r>
        <w:r w:rsidR="00992B6D">
          <w:rPr>
            <w:noProof/>
            <w:webHidden/>
          </w:rPr>
          <w:fldChar w:fldCharType="separate"/>
        </w:r>
        <w:r w:rsidR="00992B6D">
          <w:rPr>
            <w:noProof/>
            <w:webHidden/>
          </w:rPr>
          <w:t>73</w:t>
        </w:r>
        <w:r w:rsidR="00992B6D">
          <w:rPr>
            <w:noProof/>
            <w:webHidden/>
          </w:rPr>
          <w:fldChar w:fldCharType="end"/>
        </w:r>
      </w:hyperlink>
    </w:p>
    <w:p w14:paraId="1863411F" w14:textId="7DE02F5E" w:rsidR="00992B6D" w:rsidRDefault="00475864">
      <w:pPr>
        <w:pStyle w:val="TOC1"/>
        <w:tabs>
          <w:tab w:val="right" w:leader="dot" w:pos="5030"/>
        </w:tabs>
        <w:rPr>
          <w:rFonts w:eastAsiaTheme="minorEastAsia"/>
          <w:b w:val="0"/>
          <w:caps w:val="0"/>
          <w:noProof/>
          <w:sz w:val="22"/>
          <w:lang w:val="en-US" w:eastAsia="en-US" w:bidi="ar-SA"/>
        </w:rPr>
      </w:pPr>
      <w:hyperlink w:anchor="_Toc25746771" w:history="1">
        <w:r w:rsidR="00992B6D" w:rsidRPr="005146B0">
          <w:rPr>
            <w:rStyle w:val="Hyperlink"/>
            <w:noProof/>
            <w:lang w:eastAsia="en-US"/>
          </w:rPr>
          <w:t>Annexe A – Engagement de Niveau de Service pour la Détection et le Blocage de Virus, l’Efficacité du Filtre de Courriers Indésirables ou les Faux Positifs</w:t>
        </w:r>
        <w:r w:rsidR="00992B6D">
          <w:rPr>
            <w:noProof/>
            <w:webHidden/>
          </w:rPr>
          <w:tab/>
        </w:r>
        <w:r w:rsidR="00992B6D">
          <w:rPr>
            <w:noProof/>
            <w:webHidden/>
          </w:rPr>
          <w:fldChar w:fldCharType="begin"/>
        </w:r>
        <w:r w:rsidR="00992B6D">
          <w:rPr>
            <w:noProof/>
            <w:webHidden/>
          </w:rPr>
          <w:instrText xml:space="preserve"> PAGEREF _Toc25746771 \h </w:instrText>
        </w:r>
        <w:r w:rsidR="00992B6D">
          <w:rPr>
            <w:noProof/>
            <w:webHidden/>
          </w:rPr>
        </w:r>
        <w:r w:rsidR="00992B6D">
          <w:rPr>
            <w:noProof/>
            <w:webHidden/>
          </w:rPr>
          <w:fldChar w:fldCharType="separate"/>
        </w:r>
        <w:r w:rsidR="00992B6D">
          <w:rPr>
            <w:noProof/>
            <w:webHidden/>
          </w:rPr>
          <w:t>74</w:t>
        </w:r>
        <w:r w:rsidR="00992B6D">
          <w:rPr>
            <w:noProof/>
            <w:webHidden/>
          </w:rPr>
          <w:fldChar w:fldCharType="end"/>
        </w:r>
      </w:hyperlink>
    </w:p>
    <w:p w14:paraId="32C5FDD5" w14:textId="260859D1" w:rsidR="00992B6D" w:rsidRDefault="00475864">
      <w:pPr>
        <w:pStyle w:val="TOC1"/>
        <w:tabs>
          <w:tab w:val="right" w:leader="dot" w:pos="5030"/>
        </w:tabs>
        <w:rPr>
          <w:rFonts w:eastAsiaTheme="minorEastAsia"/>
          <w:b w:val="0"/>
          <w:caps w:val="0"/>
          <w:noProof/>
          <w:sz w:val="22"/>
          <w:lang w:val="en-US" w:eastAsia="en-US" w:bidi="ar-SA"/>
        </w:rPr>
      </w:pPr>
      <w:hyperlink w:anchor="_Toc25746772" w:history="1">
        <w:r w:rsidR="00992B6D" w:rsidRPr="005146B0">
          <w:rPr>
            <w:rStyle w:val="Hyperlink"/>
            <w:noProof/>
            <w:lang w:eastAsia="en-US"/>
          </w:rPr>
          <w:t>Annexe B – Engagement de Niveau de Service pour le Temps de Disponibilité et la Remise du Courrier Électronique</w:t>
        </w:r>
        <w:r w:rsidR="00992B6D">
          <w:rPr>
            <w:noProof/>
            <w:webHidden/>
          </w:rPr>
          <w:tab/>
        </w:r>
        <w:r w:rsidR="00992B6D">
          <w:rPr>
            <w:noProof/>
            <w:webHidden/>
          </w:rPr>
          <w:fldChar w:fldCharType="begin"/>
        </w:r>
        <w:r w:rsidR="00992B6D">
          <w:rPr>
            <w:noProof/>
            <w:webHidden/>
          </w:rPr>
          <w:instrText xml:space="preserve"> PAGEREF _Toc25746772 \h </w:instrText>
        </w:r>
        <w:r w:rsidR="00992B6D">
          <w:rPr>
            <w:noProof/>
            <w:webHidden/>
          </w:rPr>
        </w:r>
        <w:r w:rsidR="00992B6D">
          <w:rPr>
            <w:noProof/>
            <w:webHidden/>
          </w:rPr>
          <w:fldChar w:fldCharType="separate"/>
        </w:r>
        <w:r w:rsidR="00992B6D">
          <w:rPr>
            <w:noProof/>
            <w:webHidden/>
          </w:rPr>
          <w:t>76</w:t>
        </w:r>
        <w:r w:rsidR="00992B6D">
          <w:rPr>
            <w:noProof/>
            <w:webHidden/>
          </w:rPr>
          <w:fldChar w:fldCharType="end"/>
        </w:r>
      </w:hyperlink>
    </w:p>
    <w:p w14:paraId="3CA6B7A7" w14:textId="70A7975D"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5746626"/>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992B6D" w:rsidRPr="00571855" w14:paraId="27041086" w14:textId="77777777" w:rsidTr="006C0997">
        <w:trPr>
          <w:tblHeader/>
        </w:trPr>
        <w:tc>
          <w:tcPr>
            <w:tcW w:w="5287" w:type="dxa"/>
            <w:shd w:val="clear" w:color="auto" w:fill="0072C6"/>
          </w:tcPr>
          <w:p w14:paraId="64E72689" w14:textId="1D173621" w:rsidR="00992B6D" w:rsidRPr="006D4DC5" w:rsidRDefault="00992B6D" w:rsidP="00992B6D">
            <w:pPr>
              <w:pStyle w:val="ProductList-OfferingBody"/>
            </w:pPr>
            <w:r>
              <w:rPr>
                <w:color w:val="FFFFFF" w:themeColor="background1"/>
              </w:rPr>
              <w:t>Ajouts</w:t>
            </w:r>
          </w:p>
        </w:tc>
        <w:tc>
          <w:tcPr>
            <w:tcW w:w="5395" w:type="dxa"/>
            <w:shd w:val="clear" w:color="auto" w:fill="0072C6"/>
          </w:tcPr>
          <w:p w14:paraId="12BE3BAD" w14:textId="555BE409" w:rsidR="00992B6D" w:rsidRPr="006D4DC5" w:rsidRDefault="00992B6D" w:rsidP="00992B6D">
            <w:pPr>
              <w:pStyle w:val="ProductList-OfferingBody"/>
            </w:pPr>
            <w:r>
              <w:rPr>
                <w:color w:val="FFFFFF" w:themeColor="background1"/>
              </w:rPr>
              <w:t>Suppressions</w:t>
            </w:r>
          </w:p>
        </w:tc>
      </w:tr>
      <w:tr w:rsidR="00992B6D" w:rsidRPr="003650D0" w14:paraId="7F686376" w14:textId="77777777" w:rsidTr="006C0997">
        <w:trPr>
          <w:tblHeader/>
        </w:trPr>
        <w:tc>
          <w:tcPr>
            <w:tcW w:w="5287" w:type="dxa"/>
            <w:shd w:val="clear" w:color="auto" w:fill="auto"/>
          </w:tcPr>
          <w:p w14:paraId="61FAB2C1" w14:textId="062B2D7B" w:rsidR="00992B6D" w:rsidRPr="006D4DC5" w:rsidRDefault="00992B6D" w:rsidP="00992B6D">
            <w:pPr>
              <w:pStyle w:val="ProductList-OfferingBody"/>
              <w:rPr>
                <w:color w:val="000000" w:themeColor="text1"/>
              </w:rPr>
            </w:pPr>
            <w:r>
              <w:rPr>
                <w:color w:val="000000" w:themeColor="text1"/>
              </w:rPr>
              <w:t>Dynamics 365 Fraud Protection</w:t>
            </w:r>
          </w:p>
        </w:tc>
        <w:tc>
          <w:tcPr>
            <w:tcW w:w="5395" w:type="dxa"/>
            <w:shd w:val="clear" w:color="auto" w:fill="auto"/>
          </w:tcPr>
          <w:p w14:paraId="69A87A4A" w14:textId="417C85A6" w:rsidR="00992B6D" w:rsidRPr="006D4DC5" w:rsidRDefault="00992B6D" w:rsidP="00992B6D">
            <w:pPr>
              <w:pStyle w:val="ProductList-OfferingBody"/>
              <w:rPr>
                <w:color w:val="000000" w:themeColor="text1"/>
              </w:rPr>
            </w:pPr>
          </w:p>
        </w:tc>
      </w:tr>
    </w:tbl>
    <w:p w14:paraId="62BCAC5D" w14:textId="77777777" w:rsidR="000502F6" w:rsidRPr="00E464DF" w:rsidRDefault="000502F6" w:rsidP="000502F6">
      <w:pPr>
        <w:pStyle w:val="ProductList-Body"/>
      </w:pPr>
    </w:p>
    <w:p w14:paraId="6BDE0705" w14:textId="211FCF0C" w:rsidR="00CB6998" w:rsidRPr="00FB368F" w:rsidRDefault="00475864"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25746627"/>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25746628"/>
      <w:bookmarkStart w:id="16" w:name="ServiceSpecificTerms"/>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25746629"/>
      <w:bookmarkEnd w:id="16"/>
      <w:r w:rsidRPr="00335E32">
        <w:rPr>
          <w:lang w:val="en-US"/>
        </w:rPr>
        <w:t>Microsoft Dynamics</w:t>
      </w:r>
      <w:bookmarkEnd w:id="17"/>
      <w:bookmarkEnd w:id="18"/>
      <w:r w:rsidRPr="00335E32">
        <w:rPr>
          <w:lang w:val="en-US"/>
        </w:rPr>
        <w:t xml:space="preserve"> 365</w:t>
      </w:r>
      <w:bookmarkEnd w:id="19"/>
      <w:bookmarkEnd w:id="20"/>
    </w:p>
    <w:p w14:paraId="68EB8EBF" w14:textId="6DA31C0E"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25746630"/>
      <w:bookmarkStart w:id="26" w:name="_Toc438127029"/>
      <w:bookmarkStart w:id="27" w:name="_Toc457821509"/>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bookmarkEnd w:id="25"/>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475864"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8" w:name="_Toc506981000"/>
    <w:bookmarkStart w:id="29" w:name="_Toc510793626"/>
    <w:bookmarkStart w:id="30"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1" w:name="_Toc25746631"/>
      <w:r w:rsidRPr="0086228D">
        <w:rPr>
          <w:lang w:val="en-US"/>
        </w:rPr>
        <w:t xml:space="preserve">Dynamics 365 Business </w:t>
      </w:r>
      <w:bookmarkEnd w:id="28"/>
      <w:r w:rsidRPr="0086228D">
        <w:rPr>
          <w:lang w:val="en-US"/>
        </w:rPr>
        <w:t>Central</w:t>
      </w:r>
      <w:bookmarkEnd w:id="29"/>
      <w:bookmarkEnd w:id="31"/>
    </w:p>
    <w:bookmarkEnd w:id="30"/>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475864"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25746632"/>
      <w:r>
        <w:t>Dynamics 365 Fraud Protection</w:t>
      </w:r>
      <w:bookmarkEnd w:id="35"/>
      <w:bookmarkEnd w:id="36"/>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77777777" w:rsidR="00992B6D" w:rsidRPr="00831967" w:rsidRDefault="00992B6D" w:rsidP="00992B6D">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0E4EF0F1" w14:textId="77777777" w:rsidR="00992B6D" w:rsidRPr="00831967" w:rsidRDefault="00992B6D" w:rsidP="00992B6D">
      <w:pPr>
        <w:pStyle w:val="ProductList-Body"/>
      </w:pPr>
    </w:p>
    <w:p w14:paraId="057DFB43" w14:textId="77777777" w:rsidR="00992B6D" w:rsidRPr="00831967" w:rsidRDefault="00475864"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6890ACC9" w14:textId="77777777" w:rsidR="00992B6D" w:rsidRPr="00831967" w:rsidRDefault="00992B6D" w:rsidP="00992B6D">
      <w:pPr>
        <w:pStyle w:val="ProductList-Body"/>
      </w:pPr>
    </w:p>
    <w:p w14:paraId="11419921" w14:textId="77777777"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434CEB">
        <w:trPr>
          <w:tblHeader/>
        </w:trPr>
        <w:tc>
          <w:tcPr>
            <w:tcW w:w="5400" w:type="dxa"/>
            <w:shd w:val="clear" w:color="auto" w:fill="0072C6"/>
          </w:tcPr>
          <w:p w14:paraId="1C9C2F01" w14:textId="77777777" w:rsidR="00992B6D" w:rsidRPr="00EF7CF9" w:rsidRDefault="00992B6D" w:rsidP="00434CE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434CEB">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434CEB">
        <w:tc>
          <w:tcPr>
            <w:tcW w:w="5400" w:type="dxa"/>
          </w:tcPr>
          <w:p w14:paraId="3E6068E7" w14:textId="77777777" w:rsidR="00992B6D" w:rsidRPr="00EF7CF9" w:rsidRDefault="00992B6D" w:rsidP="00434CEB">
            <w:pPr>
              <w:pStyle w:val="ProductList-OfferingBody"/>
              <w:jc w:val="center"/>
            </w:pPr>
            <w:r>
              <w:t>&lt; 99,9 %</w:t>
            </w:r>
          </w:p>
        </w:tc>
        <w:tc>
          <w:tcPr>
            <w:tcW w:w="5400" w:type="dxa"/>
          </w:tcPr>
          <w:p w14:paraId="13A53366" w14:textId="77777777" w:rsidR="00992B6D" w:rsidRPr="00EF7CF9" w:rsidRDefault="00992B6D" w:rsidP="00434CEB">
            <w:pPr>
              <w:pStyle w:val="ProductList-OfferingBody"/>
              <w:jc w:val="center"/>
            </w:pPr>
            <w:r>
              <w:t>25%</w:t>
            </w:r>
          </w:p>
        </w:tc>
      </w:tr>
      <w:tr w:rsidR="00992B6D" w:rsidRPr="00B44CF9" w14:paraId="6A799A32" w14:textId="77777777" w:rsidTr="00434CEB">
        <w:tc>
          <w:tcPr>
            <w:tcW w:w="5400" w:type="dxa"/>
          </w:tcPr>
          <w:p w14:paraId="0B01963D" w14:textId="77777777" w:rsidR="00992B6D" w:rsidRPr="00EF7CF9" w:rsidRDefault="00992B6D" w:rsidP="00434CEB">
            <w:pPr>
              <w:pStyle w:val="ProductList-OfferingBody"/>
              <w:jc w:val="center"/>
            </w:pPr>
            <w:r>
              <w:t>&lt; 99 %</w:t>
            </w:r>
          </w:p>
        </w:tc>
        <w:tc>
          <w:tcPr>
            <w:tcW w:w="5400" w:type="dxa"/>
          </w:tcPr>
          <w:p w14:paraId="56ED58EF" w14:textId="77777777" w:rsidR="00992B6D" w:rsidRPr="00EF7CF9" w:rsidRDefault="00992B6D" w:rsidP="00434CEB">
            <w:pPr>
              <w:pStyle w:val="ProductList-OfferingBody"/>
              <w:jc w:val="center"/>
            </w:pPr>
            <w:r>
              <w:t>50%</w:t>
            </w:r>
          </w:p>
        </w:tc>
      </w:tr>
      <w:tr w:rsidR="00992B6D" w:rsidRPr="00B44CF9" w14:paraId="0710D203" w14:textId="77777777" w:rsidTr="00434CEB">
        <w:tc>
          <w:tcPr>
            <w:tcW w:w="5400" w:type="dxa"/>
          </w:tcPr>
          <w:p w14:paraId="561D540B" w14:textId="77777777" w:rsidR="00992B6D" w:rsidRPr="00EF7CF9" w:rsidRDefault="00992B6D" w:rsidP="00434CEB">
            <w:pPr>
              <w:pStyle w:val="ProductList-OfferingBody"/>
              <w:jc w:val="center"/>
            </w:pPr>
            <w:r>
              <w:t>&lt; 95 %</w:t>
            </w:r>
          </w:p>
        </w:tc>
        <w:tc>
          <w:tcPr>
            <w:tcW w:w="5400" w:type="dxa"/>
          </w:tcPr>
          <w:p w14:paraId="3E2E08B5" w14:textId="77777777" w:rsidR="00992B6D" w:rsidRPr="00EF7CF9" w:rsidRDefault="00992B6D" w:rsidP="00434CEB">
            <w:pPr>
              <w:pStyle w:val="ProductList-OfferingBody"/>
              <w:jc w:val="center"/>
            </w:pPr>
            <w:r>
              <w:t>100%</w:t>
            </w:r>
          </w:p>
        </w:tc>
      </w:tr>
    </w:tbl>
    <w:p w14:paraId="2B5570CB" w14:textId="77777777" w:rsidR="00992B6D" w:rsidRPr="00831967" w:rsidRDefault="00475864"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4A96DCF" w14:textId="65305E7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7" w:name="_Toc25746633"/>
      <w:r w:rsidRPr="00F45379">
        <w:rPr>
          <w:lang w:val="en-US"/>
        </w:rPr>
        <w:t xml:space="preserve">Dynamics 365 </w:t>
      </w:r>
      <w:bookmarkStart w:id="38" w:name="_Hlk19533710"/>
      <w:bookmarkEnd w:id="32"/>
      <w:bookmarkEnd w:id="33"/>
      <w:bookmarkEnd w:id="34"/>
      <w:r w:rsidR="00AE6FD3" w:rsidRPr="0022548E">
        <w:t>Supply Chain Management; Dynamics 365 Finance</w:t>
      </w:r>
      <w:bookmarkEnd w:id="37"/>
      <w:bookmarkEnd w:id="38"/>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475864"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398AFB8D"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4" w:name="_Toc25746634"/>
      <w:r>
        <w:t>Dynamics 365 Retail</w:t>
      </w:r>
      <w:bookmarkEnd w:id="39"/>
      <w:bookmarkEnd w:id="44"/>
    </w:p>
    <w:bookmarkEnd w:id="40"/>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lastRenderedPageBreak/>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475864"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bookmarkStart w:id="45" w:name="_Toc506981003"/>
    <w:bookmarkStart w:id="46" w:name="_Toc510793629"/>
    <w:bookmarkEnd w:id="41"/>
    <w:bookmarkEnd w:id="42"/>
    <w:bookmarkEnd w:id="43"/>
    <w:p w14:paraId="54FBEEB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63448291"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7" w:name="_Toc25746635"/>
      <w:r w:rsidRPr="0086228D">
        <w:rPr>
          <w:lang w:val="en-US"/>
        </w:rPr>
        <w:t>Dynamics 365 Sales</w:t>
      </w:r>
      <w:bookmarkEnd w:id="45"/>
      <w:r w:rsidRPr="0086228D">
        <w:rPr>
          <w:lang w:val="en-US"/>
        </w:rPr>
        <w:t xml:space="preserve"> Enterprise ; Dynamics 365 Sales Professional</w:t>
      </w:r>
      <w:bookmarkEnd w:id="46"/>
      <w:bookmarkEnd w:id="47"/>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2928A2" w:rsidRDefault="00475864"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bookmarkStart w:id="48" w:name="_Toc510793630"/>
    <w:bookmarkStart w:id="49" w:name="_Toc506981004"/>
    <w:bookmarkStart w:id="50" w:name="MicrosoftDynamics365forTalent"/>
    <w:p w14:paraId="6001917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0046A3E0"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51" w:name="_Toc25746636"/>
      <w:r w:rsidRPr="0086228D">
        <w:rPr>
          <w:lang w:val="en-US"/>
        </w:rPr>
        <w:t>Dynamics 365 Talent ; Dynamics 365 Talent : Onboard</w:t>
      </w:r>
      <w:bookmarkEnd w:id="48"/>
      <w:bookmarkEnd w:id="49"/>
      <w:bookmarkEnd w:id="51"/>
    </w:p>
    <w:bookmarkEnd w:id="50"/>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A40F90">
      <w:pPr>
        <w:pStyle w:val="ProductList-Body"/>
      </w:pPr>
    </w:p>
    <w:p w14:paraId="78DD5456" w14:textId="77777777" w:rsidR="00980B3D" w:rsidRPr="00BB3E44" w:rsidRDefault="00475864"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37363170"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52" w:name="_Toc25746637"/>
      <w:r w:rsidRPr="005A6CF1">
        <w:rPr>
          <w:lang w:val="en-US" w:eastAsia="en-US" w:bidi="ar-SA"/>
        </w:rPr>
        <w:t>Services Office 365</w:t>
      </w:r>
      <w:bookmarkEnd w:id="52"/>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53" w:name="_Toc25746638"/>
      <w:r w:rsidRPr="005A6CF1">
        <w:rPr>
          <w:lang w:val="en-US" w:eastAsia="en-US" w:bidi="ar-SA"/>
        </w:rPr>
        <w:t>Duet Enterprise Online</w:t>
      </w:r>
      <w:bookmarkEnd w:id="53"/>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2928A2" w:rsidRDefault="00475864"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54" w:name="_Toc25746639"/>
      <w:r w:rsidRPr="008E64FF">
        <w:rPr>
          <w:lang w:eastAsia="en-US" w:bidi="ar-SA"/>
        </w:rPr>
        <w:t>Exchange Online</w:t>
      </w:r>
      <w:bookmarkEnd w:id="54"/>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2928A2" w:rsidRDefault="0047586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5" w:name="_Toc25746640"/>
      <w:r w:rsidRPr="008E64FF">
        <w:rPr>
          <w:lang w:eastAsia="en-US" w:bidi="ar-SA"/>
        </w:rPr>
        <w:t>Exchange Online Archiving</w:t>
      </w:r>
      <w:bookmarkEnd w:id="55"/>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2928A2" w:rsidRDefault="0047586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6" w:name="_Toc25746641"/>
      <w:r w:rsidRPr="008E64FF">
        <w:rPr>
          <w:lang w:eastAsia="en-US" w:bidi="ar-SA"/>
        </w:rPr>
        <w:t>Exchange Online Protection</w:t>
      </w:r>
      <w:bookmarkEnd w:id="56"/>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2928A2" w:rsidRDefault="0047586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A40F90">
      <w:pPr>
        <w:spacing w:after="0" w:line="240" w:lineRule="auto"/>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992B6D">
      <w:pPr>
        <w:pStyle w:val="ProductList-Body"/>
        <w:keepNext/>
      </w:pPr>
      <w:r>
        <w:rPr>
          <w:b/>
          <w:color w:val="00188F"/>
        </w:rPr>
        <w:lastRenderedPageBreak/>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A40F90">
      <w:pPr>
        <w:pStyle w:val="ProductList-Offering2Heading"/>
        <w:keepNext/>
        <w:outlineLvl w:val="2"/>
      </w:pPr>
      <w:bookmarkStart w:id="59" w:name="_Toc25746642"/>
      <w:r>
        <w:t xml:space="preserve">Microsoft </w:t>
      </w:r>
      <w:bookmarkEnd w:id="57"/>
      <w:r>
        <w:t>MyAnalytics</w:t>
      </w:r>
      <w:bookmarkEnd w:id="58"/>
      <w:bookmarkEnd w:id="59"/>
    </w:p>
    <w:p w14:paraId="07868C3F" w14:textId="77777777" w:rsidR="00A40F90" w:rsidRPr="002B713E" w:rsidRDefault="00A40F90" w:rsidP="00A40F90">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2928A2" w:rsidRDefault="00475864" w:rsidP="0016438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335E32">
      <w:pPr>
        <w:pStyle w:val="ProductList-Offering2Heading"/>
        <w:outlineLvl w:val="2"/>
      </w:pPr>
      <w:bookmarkStart w:id="64" w:name="_Toc25746643"/>
      <w:r>
        <w:t>Microsoft Stream</w:t>
      </w:r>
      <w:bookmarkEnd w:id="60"/>
      <w:bookmarkEnd w:id="64"/>
    </w:p>
    <w:bookmarkEnd w:id="61"/>
    <w:p w14:paraId="76509C81" w14:textId="77777777" w:rsidR="00335E32" w:rsidRPr="00815D37" w:rsidRDefault="00335E32" w:rsidP="00335E32">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335E32">
      <w:pPr>
        <w:pStyle w:val="ProductList-Body"/>
      </w:pPr>
    </w:p>
    <w:p w14:paraId="0D13EFD3" w14:textId="77777777" w:rsidR="00335E32" w:rsidRPr="00815D37" w:rsidRDefault="00335E32" w:rsidP="00335E3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335E32">
      <w:pPr>
        <w:pStyle w:val="ProductList-Body"/>
      </w:pPr>
    </w:p>
    <w:p w14:paraId="5968EC11" w14:textId="77777777" w:rsidR="00335E32" w:rsidRPr="002928A2" w:rsidRDefault="00475864" w:rsidP="00335E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335E32">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335E32">
      <w:pPr>
        <w:pStyle w:val="ProductList-Body"/>
      </w:pPr>
    </w:p>
    <w:p w14:paraId="126E9FDB" w14:textId="77777777" w:rsidR="00335E32" w:rsidRPr="00815D37" w:rsidRDefault="00335E32" w:rsidP="00335E32">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9C340C">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9C340C">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9C340C">
            <w:pPr>
              <w:pStyle w:val="ProductList-OfferingBody"/>
              <w:jc w:val="center"/>
            </w:pPr>
            <w:r>
              <w:t>&lt; 99,9 %</w:t>
            </w:r>
          </w:p>
        </w:tc>
        <w:tc>
          <w:tcPr>
            <w:tcW w:w="2500" w:type="pct"/>
          </w:tcPr>
          <w:p w14:paraId="209535FB" w14:textId="77777777" w:rsidR="00335E32" w:rsidRPr="0076238C" w:rsidRDefault="00335E32" w:rsidP="009C340C">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9C340C">
            <w:pPr>
              <w:pStyle w:val="ProductList-OfferingBody"/>
              <w:jc w:val="center"/>
            </w:pPr>
            <w:r>
              <w:t>&lt; 99 %</w:t>
            </w:r>
          </w:p>
        </w:tc>
        <w:tc>
          <w:tcPr>
            <w:tcW w:w="2500" w:type="pct"/>
          </w:tcPr>
          <w:p w14:paraId="6A868DF4" w14:textId="77777777" w:rsidR="00335E32" w:rsidRPr="0076238C" w:rsidRDefault="00335E32" w:rsidP="009C340C">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9C340C">
            <w:pPr>
              <w:pStyle w:val="ProductList-OfferingBody"/>
              <w:jc w:val="center"/>
            </w:pPr>
            <w:r>
              <w:t>&lt; 95 %</w:t>
            </w:r>
          </w:p>
        </w:tc>
        <w:tc>
          <w:tcPr>
            <w:tcW w:w="2500" w:type="pct"/>
          </w:tcPr>
          <w:p w14:paraId="67B9B3EF" w14:textId="77777777" w:rsidR="00335E32" w:rsidRPr="0076238C" w:rsidRDefault="00335E32" w:rsidP="009C340C">
            <w:pPr>
              <w:pStyle w:val="ProductList-OfferingBody"/>
              <w:jc w:val="center"/>
            </w:pPr>
            <w:r>
              <w:t>100 %</w:t>
            </w:r>
          </w:p>
        </w:tc>
      </w:tr>
    </w:tbl>
    <w:p w14:paraId="4F297438" w14:textId="77777777" w:rsidR="00335E32" w:rsidRPr="00815D37" w:rsidRDefault="00335E32" w:rsidP="00335E32">
      <w:pPr>
        <w:pStyle w:val="ProductList-Body"/>
      </w:pPr>
    </w:p>
    <w:p w14:paraId="045C5EBD" w14:textId="77777777" w:rsidR="00335E32" w:rsidRPr="00815D37" w:rsidRDefault="00335E32" w:rsidP="00335E32">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335E32">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A40F90">
      <w:pPr>
        <w:pStyle w:val="ProductList-Offering2Heading"/>
        <w:keepNext/>
        <w:outlineLvl w:val="2"/>
      </w:pPr>
      <w:bookmarkStart w:id="65" w:name="_Toc25746644"/>
      <w:r>
        <w:t xml:space="preserve">Microsoft </w:t>
      </w:r>
      <w:bookmarkEnd w:id="62"/>
      <w:r>
        <w:t>Teams</w:t>
      </w:r>
      <w:bookmarkEnd w:id="63"/>
      <w:bookmarkEnd w:id="65"/>
    </w:p>
    <w:p w14:paraId="44DC6A53" w14:textId="77777777" w:rsidR="00A40F90" w:rsidRPr="002B713E" w:rsidRDefault="00A40F90" w:rsidP="00A40F90">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2928A2" w:rsidRDefault="00475864" w:rsidP="00A90E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46D01BCE" w14:textId="77777777" w:rsidR="00A40F90" w:rsidRPr="002B713E" w:rsidRDefault="00A40F90" w:rsidP="00A40F90">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0C3782B6" w:rsidR="008C5EDB" w:rsidRPr="008E64FF" w:rsidRDefault="008C5EDB" w:rsidP="00335E32">
      <w:pPr>
        <w:pStyle w:val="ProductList-Offering2Heading"/>
        <w:keepNext/>
        <w:rPr>
          <w:lang w:eastAsia="en-US" w:bidi="ar-SA"/>
        </w:rPr>
      </w:pPr>
      <w:bookmarkStart w:id="66" w:name="_Toc25746645"/>
      <w:r w:rsidRPr="008E64FF">
        <w:rPr>
          <w:lang w:eastAsia="en-US" w:bidi="ar-SA"/>
        </w:rPr>
        <w:t>Office 365 Business</w:t>
      </w:r>
      <w:bookmarkEnd w:id="66"/>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2928A2" w:rsidRDefault="0047586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bookmarkStart w:id="67" w:name="_Toc477262542"/>
    <w:bookmarkStart w:id="68" w:name="_Toc457821517"/>
    <w:bookmarkStart w:id="69" w:name="_Toc480808092"/>
    <w:p w14:paraId="34D7E7F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70" w:name="_Toc25746646"/>
      <w:r>
        <w:t xml:space="preserve">Conformité avancée </w:t>
      </w:r>
      <w:bookmarkEnd w:id="67"/>
      <w:r>
        <w:t>Office 365</w:t>
      </w:r>
      <w:bookmarkEnd w:id="68"/>
      <w:bookmarkEnd w:id="69"/>
      <w:bookmarkEnd w:id="70"/>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2928A2" w:rsidRDefault="00475864" w:rsidP="00CB699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59EA61C4"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71" w:name="_Toc25746647"/>
      <w:r w:rsidRPr="005A6CF1">
        <w:rPr>
          <w:lang w:val="en-US" w:eastAsia="en-US" w:bidi="ar-SA"/>
        </w:rPr>
        <w:lastRenderedPageBreak/>
        <w:t>Office 365 ProPlus</w:t>
      </w:r>
      <w:bookmarkEnd w:id="71"/>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2928A2" w:rsidRDefault="0047586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3A027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A0273">
            <w:pPr>
              <w:pStyle w:val="ProductList-OfferingBody"/>
              <w:keepNext/>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3A0273">
            <w:pPr>
              <w:pStyle w:val="ProductList-OfferingBody"/>
              <w:keepNext/>
              <w:jc w:val="center"/>
            </w:pPr>
            <w:r>
              <w:t>&lt; 99,9 %</w:t>
            </w:r>
          </w:p>
        </w:tc>
        <w:tc>
          <w:tcPr>
            <w:tcW w:w="5400" w:type="dxa"/>
          </w:tcPr>
          <w:p w14:paraId="4C9A31DC" w14:textId="5C1BDF3E" w:rsidR="000C13D4" w:rsidRPr="0076238C" w:rsidRDefault="000C13D4" w:rsidP="003A0273">
            <w:pPr>
              <w:pStyle w:val="ProductList-OfferingBody"/>
              <w:keepNext/>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3A0273">
            <w:pPr>
              <w:pStyle w:val="ProductList-OfferingBody"/>
              <w:keepNext/>
              <w:jc w:val="center"/>
            </w:pPr>
            <w:r>
              <w:t>&lt; 99 %</w:t>
            </w:r>
          </w:p>
        </w:tc>
        <w:tc>
          <w:tcPr>
            <w:tcW w:w="5400" w:type="dxa"/>
          </w:tcPr>
          <w:p w14:paraId="3FC2502C" w14:textId="34502677" w:rsidR="000C13D4" w:rsidRPr="0076238C" w:rsidRDefault="000C13D4" w:rsidP="003A0273">
            <w:pPr>
              <w:pStyle w:val="ProductList-OfferingBody"/>
              <w:keepNext/>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0FB58C26"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72" w:name="_Toc25746648"/>
      <w:r w:rsidRPr="005A6CF1">
        <w:rPr>
          <w:lang w:val="en-US" w:eastAsia="en-US" w:bidi="ar-SA"/>
        </w:rPr>
        <w:t>Office Online</w:t>
      </w:r>
      <w:bookmarkEnd w:id="72"/>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2928A2" w:rsidRDefault="0047586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42CE4F84"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73" w:name="_Toc25746649"/>
      <w:r w:rsidRPr="005A6CF1">
        <w:rPr>
          <w:lang w:val="en-US" w:eastAsia="en-US" w:bidi="ar-SA"/>
        </w:rPr>
        <w:t>Office 365 Video</w:t>
      </w:r>
      <w:bookmarkEnd w:id="73"/>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2928A2" w:rsidRDefault="0047586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992B6D">
            <w:pPr>
              <w:pStyle w:val="ProductList-OfferingBody"/>
              <w:keepNext/>
              <w:jc w:val="center"/>
            </w:pPr>
            <w:r>
              <w:lastRenderedPageBreak/>
              <w:t>&lt; 99 %</w:t>
            </w:r>
          </w:p>
        </w:tc>
        <w:tc>
          <w:tcPr>
            <w:tcW w:w="5400" w:type="dxa"/>
          </w:tcPr>
          <w:p w14:paraId="091B1753" w14:textId="63454DBE" w:rsidR="000C13D4" w:rsidRPr="0076238C" w:rsidRDefault="000C13D4" w:rsidP="00992B6D">
            <w:pPr>
              <w:pStyle w:val="ProductList-OfferingBody"/>
              <w:keepNext/>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992B6D">
            <w:pPr>
              <w:pStyle w:val="ProductList-OfferingBody"/>
              <w:keepNext/>
              <w:jc w:val="center"/>
            </w:pPr>
            <w:r>
              <w:t>&lt; 95 %</w:t>
            </w:r>
          </w:p>
        </w:tc>
        <w:tc>
          <w:tcPr>
            <w:tcW w:w="5400" w:type="dxa"/>
          </w:tcPr>
          <w:p w14:paraId="0F29C740" w14:textId="74C45E4B" w:rsidR="000C13D4" w:rsidRPr="0076238C" w:rsidRDefault="000C13D4" w:rsidP="00992B6D">
            <w:pPr>
              <w:pStyle w:val="ProductList-OfferingBody"/>
              <w:keepNext/>
              <w:jc w:val="center"/>
            </w:pPr>
            <w:r>
              <w:t>100</w:t>
            </w:r>
            <w:r w:rsidR="00002894">
              <w:t xml:space="preserve"> </w:t>
            </w:r>
            <w:r>
              <w:t>%</w:t>
            </w:r>
          </w:p>
        </w:tc>
      </w:tr>
    </w:tbl>
    <w:p w14:paraId="7FCD6041"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74" w:name="_Toc25746650"/>
      <w:r w:rsidRPr="005A6CF1">
        <w:rPr>
          <w:lang w:val="en-US" w:eastAsia="en-US" w:bidi="ar-SA"/>
        </w:rPr>
        <w:t>OneDrive Entreprise</w:t>
      </w:r>
      <w:bookmarkEnd w:id="74"/>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2928A2" w:rsidRDefault="0047586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04F28DA3"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75" w:name="_Toc25746651"/>
      <w:r w:rsidRPr="002D3FF9">
        <w:rPr>
          <w:lang w:eastAsia="en-US" w:bidi="ar-SA"/>
        </w:rPr>
        <w:t>Project Online</w:t>
      </w:r>
      <w:bookmarkEnd w:id="75"/>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2928A2" w:rsidRDefault="0047586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6830489B"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76" w:name="_Toc25746652"/>
      <w:r w:rsidRPr="005A6CF1">
        <w:rPr>
          <w:lang w:val="en-US" w:eastAsia="en-US" w:bidi="ar-SA"/>
        </w:rPr>
        <w:t>SharePoint Online</w:t>
      </w:r>
      <w:bookmarkEnd w:id="76"/>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2928A2" w:rsidRDefault="0047586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1F5E4A76"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77" w:name="_Toc25746653"/>
      <w:r w:rsidRPr="002D3FF9">
        <w:rPr>
          <w:lang w:eastAsia="en-US" w:bidi="ar-SA"/>
        </w:rPr>
        <w:t>Skype Entreprise Online</w:t>
      </w:r>
      <w:bookmarkEnd w:id="77"/>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2928A2" w:rsidRDefault="0047586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bookmarkStart w:id="78" w:name="_Toc457821525"/>
    <w:bookmarkStart w:id="79" w:name="_Toc526859637"/>
    <w:bookmarkStart w:id="80" w:name="_Toc525207109"/>
    <w:p w14:paraId="7F5B56C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A40F90">
      <w:pPr>
        <w:pStyle w:val="ProductList-Offering2Heading"/>
        <w:keepNext/>
        <w:outlineLvl w:val="2"/>
      </w:pPr>
      <w:bookmarkStart w:id="81" w:name="_Toc25746654"/>
      <w:r>
        <w:t>Microsoft Teams</w:t>
      </w:r>
      <w:r w:rsidR="00A40F90">
        <w:t xml:space="preserve"> – Forfaits d'Appels et Audioconférence</w:t>
      </w:r>
      <w:bookmarkEnd w:id="78"/>
      <w:bookmarkEnd w:id="79"/>
      <w:bookmarkEnd w:id="80"/>
      <w:bookmarkEnd w:id="81"/>
    </w:p>
    <w:p w14:paraId="079547ED" w14:textId="77777777" w:rsidR="00A40F90" w:rsidRPr="002928A2" w:rsidRDefault="00A40F90" w:rsidP="00A40F90">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475864"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bookmarkStart w:id="82" w:name="_Toc444249041"/>
    <w:p w14:paraId="6E1CD5D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183F48">
      <w:pPr>
        <w:pStyle w:val="ProductList-Offering2Heading"/>
      </w:pPr>
      <w:bookmarkStart w:id="83" w:name="_Toc25746655"/>
      <w:r>
        <w:t>Microsoft Teams</w:t>
      </w:r>
      <w:r w:rsidR="00183F48">
        <w:t xml:space="preserve"> – Qualité vocale</w:t>
      </w:r>
      <w:bookmarkEnd w:id="82"/>
      <w:bookmarkEnd w:id="83"/>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53F95501"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183F48">
      <w:pPr>
        <w:pStyle w:val="ProductList-Body"/>
        <w:numPr>
          <w:ilvl w:val="0"/>
          <w:numId w:val="14"/>
        </w:numPr>
      </w:pPr>
      <w:r>
        <w:lastRenderedPageBreak/>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475864"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bookmarkStart w:id="84" w:name="_Toc487138021"/>
    <w:bookmarkStart w:id="85" w:name="_Hlk487275150"/>
    <w:p w14:paraId="6343EF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86" w:name="_Toc25746656"/>
      <w:r w:rsidRPr="0053132A">
        <w:t>Workplace Analytics</w:t>
      </w:r>
      <w:bookmarkEnd w:id="86"/>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2928A2" w:rsidRDefault="00475864" w:rsidP="003D776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bookmarkEnd w:id="84"/>
    <w:bookmarkEnd w:id="85"/>
    <w:p w14:paraId="4037634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87" w:name="_Toc25746657"/>
      <w:r w:rsidRPr="008E64FF">
        <w:rPr>
          <w:lang w:eastAsia="en-US" w:bidi="ar-SA"/>
        </w:rPr>
        <w:t>Yammer Enterprise</w:t>
      </w:r>
      <w:bookmarkEnd w:id="87"/>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2928A2" w:rsidRDefault="0047586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3034CF">
            <w:pPr>
              <w:pStyle w:val="ProductList-OfferingBody"/>
              <w:jc w:val="center"/>
            </w:pPr>
            <w:r>
              <w:lastRenderedPageBreak/>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7E85730"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88" w:name="_Toc25746658"/>
      <w:r w:rsidRPr="008E64FF">
        <w:rPr>
          <w:lang w:eastAsia="en-US" w:bidi="ar-SA"/>
        </w:rPr>
        <w:t>Services Microsoft Azure</w:t>
      </w:r>
      <w:bookmarkEnd w:id="88"/>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9" w:name="_Toc464226287"/>
      <w:bookmarkStart w:id="90" w:name="_Toc25746659"/>
      <w:r>
        <w:t>Services de domaine AD</w:t>
      </w:r>
      <w:bookmarkEnd w:id="89"/>
      <w:bookmarkEnd w:id="90"/>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2928A2" w:rsidRDefault="00475864" w:rsidP="00781D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bookmarkStart w:id="91" w:name="_Toc480808105"/>
    <w:p w14:paraId="17658F5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92" w:name="_Toc25746660"/>
      <w:r>
        <w:t>Analysis Services</w:t>
      </w:r>
      <w:bookmarkEnd w:id="91"/>
      <w:bookmarkEnd w:id="92"/>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2928A2" w:rsidRDefault="00475864" w:rsidP="00013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E392B0A"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93" w:name="_Toc25746661"/>
      <w:r w:rsidRPr="008E64FF">
        <w:rPr>
          <w:lang w:eastAsia="en-US" w:bidi="ar-SA"/>
        </w:rPr>
        <w:lastRenderedPageBreak/>
        <w:t>Services de Gestion des API</w:t>
      </w:r>
      <w:bookmarkEnd w:id="93"/>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475864"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bookmarkStart w:id="94" w:name="_Toc433975835"/>
    <w:bookmarkStart w:id="95" w:name="_Toc430180030"/>
    <w:bookmarkStart w:id="96" w:name="_Toc425256416"/>
    <w:p w14:paraId="6234F31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97" w:name="_Toc25746662"/>
      <w:r>
        <w:t>App Service</w:t>
      </w:r>
      <w:bookmarkEnd w:id="97"/>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475864"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4"/>
    <w:bookmarkEnd w:id="95"/>
    <w:p w14:paraId="245E14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98" w:name="_Toc25746663"/>
      <w:r>
        <w:t>Application Gateway</w:t>
      </w:r>
      <w:bookmarkEnd w:id="96"/>
      <w:bookmarkEnd w:id="98"/>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2928A2" w:rsidRDefault="00475864"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bookmarkStart w:id="99" w:name="_Toc526859647"/>
    <w:bookmarkStart w:id="100" w:name="_Toc527039296"/>
    <w:bookmarkStart w:id="101" w:name="ApplicationInsights"/>
    <w:bookmarkStart w:id="102" w:name="_Toc441215719"/>
    <w:bookmarkStart w:id="103" w:name="_Toc440269641"/>
    <w:bookmarkStart w:id="104" w:name="ServiceAutomation"/>
    <w:bookmarkStart w:id="105" w:name="_Toc441217624"/>
    <w:p w14:paraId="485630C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A40F90">
      <w:pPr>
        <w:pStyle w:val="ProductList-Offering2Heading"/>
        <w:tabs>
          <w:tab w:val="clear" w:pos="360"/>
          <w:tab w:val="clear" w:pos="720"/>
          <w:tab w:val="clear" w:pos="1080"/>
        </w:tabs>
        <w:outlineLvl w:val="2"/>
      </w:pPr>
      <w:bookmarkStart w:id="106" w:name="_Toc25746664"/>
      <w:r>
        <w:t>Application Insights</w:t>
      </w:r>
      <w:bookmarkEnd w:id="99"/>
      <w:r>
        <w:t xml:space="preserve"> (SLA Disponibilité des Requêtes)</w:t>
      </w:r>
      <w:bookmarkEnd w:id="100"/>
      <w:bookmarkEnd w:id="106"/>
    </w:p>
    <w:bookmarkEnd w:id="101"/>
    <w:p w14:paraId="3DA44FAE" w14:textId="77777777" w:rsidR="00A40F90" w:rsidRPr="002B713E" w:rsidRDefault="00A40F90" w:rsidP="00A40F90">
      <w:pPr>
        <w:pStyle w:val="ProductList-Body"/>
      </w:pPr>
      <w:r>
        <w:rPr>
          <w:b/>
          <w:color w:val="00188F"/>
        </w:rPr>
        <w:t>Définitions supplémentaires</w:t>
      </w:r>
      <w:r>
        <w:t> </w:t>
      </w:r>
      <w:r w:rsidRPr="00AE00F0">
        <w:rPr>
          <w:b/>
        </w:rPr>
        <w:t>:</w:t>
      </w:r>
    </w:p>
    <w:p w14:paraId="63919436" w14:textId="77777777" w:rsidR="00A40F90" w:rsidRPr="002928A2" w:rsidRDefault="00A40F90" w:rsidP="00A40F90">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A40F90">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A40F90">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A40F90">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A40F90">
      <w:pPr>
        <w:pStyle w:val="ProductList-Body"/>
      </w:pPr>
    </w:p>
    <w:p w14:paraId="636F61D2" w14:textId="77777777" w:rsidR="00A40F90" w:rsidRPr="002B713E" w:rsidRDefault="00A40F90" w:rsidP="00A40F90">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A40F90">
      <w:pPr>
        <w:pStyle w:val="ProductList-Body"/>
      </w:pPr>
    </w:p>
    <w:p w14:paraId="3D19979F" w14:textId="77777777" w:rsidR="00A40F90" w:rsidRPr="002928A2" w:rsidRDefault="00475864"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A40F90">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A40F90">
            <w:pPr>
              <w:pStyle w:val="ProductList-OfferingBody"/>
              <w:jc w:val="center"/>
            </w:pPr>
            <w:r>
              <w:t>&lt; 99,9 %</w:t>
            </w:r>
          </w:p>
        </w:tc>
        <w:tc>
          <w:tcPr>
            <w:tcW w:w="5400" w:type="dxa"/>
          </w:tcPr>
          <w:p w14:paraId="2447A18D" w14:textId="77777777" w:rsidR="00A40F90" w:rsidRPr="00EF7CF9" w:rsidRDefault="00A40F90" w:rsidP="00A40F90">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A40F90">
            <w:pPr>
              <w:pStyle w:val="ProductList-OfferingBody"/>
              <w:jc w:val="center"/>
            </w:pPr>
            <w:r>
              <w:t>&lt; 99 %</w:t>
            </w:r>
          </w:p>
        </w:tc>
        <w:tc>
          <w:tcPr>
            <w:tcW w:w="5400" w:type="dxa"/>
          </w:tcPr>
          <w:p w14:paraId="162406D4" w14:textId="77777777" w:rsidR="00A40F90" w:rsidRPr="00EF7CF9" w:rsidRDefault="00A40F90" w:rsidP="00A40F90">
            <w:pPr>
              <w:pStyle w:val="ProductList-OfferingBody"/>
              <w:jc w:val="center"/>
            </w:pPr>
            <w:r>
              <w:t>25 %</w:t>
            </w:r>
          </w:p>
        </w:tc>
      </w:tr>
    </w:tbl>
    <w:p w14:paraId="2D990F5E"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107" w:name="_Toc25746665"/>
      <w:r w:rsidRPr="001A7C3D">
        <w:lastRenderedPageBreak/>
        <w:t>Service Automation</w:t>
      </w:r>
      <w:bookmarkEnd w:id="102"/>
      <w:bookmarkEnd w:id="103"/>
      <w:bookmarkEnd w:id="104"/>
      <w:r w:rsidRPr="001A7C3D">
        <w:t xml:space="preserve"> – Configuration d’état souhaité (DSC)</w:t>
      </w:r>
      <w:bookmarkEnd w:id="105"/>
      <w:bookmarkEnd w:id="107"/>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2928A2" w:rsidRDefault="00475864" w:rsidP="00030E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bookmarkStart w:id="108" w:name="_Toc441217625"/>
    <w:p w14:paraId="63EF45E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109" w:name="_Toc25746666"/>
      <w:r w:rsidRPr="001A7C3D">
        <w:t>Service Automation – Automatisation des processus</w:t>
      </w:r>
      <w:bookmarkEnd w:id="108"/>
      <w:bookmarkEnd w:id="109"/>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2928A2" w:rsidRDefault="0047586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bookmarkStart w:id="110" w:name="_Toc510793660"/>
    <w:bookmarkStart w:id="111" w:name="_Toc503177138"/>
    <w:bookmarkStart w:id="112" w:name="AzureBotService"/>
    <w:bookmarkStart w:id="113" w:name="_Toc482880958"/>
    <w:bookmarkStart w:id="114" w:name="_Toc425256419"/>
    <w:p w14:paraId="6D5A07C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115" w:name="_Toc25746667"/>
      <w:r>
        <w:t>Azure - Protection avancée contre les menaces</w:t>
      </w:r>
      <w:bookmarkEnd w:id="110"/>
      <w:bookmarkEnd w:id="115"/>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2928A2" w:rsidRDefault="00600023" w:rsidP="00600023">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475864"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31E890F1"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3A0273">
      <w:pPr>
        <w:pStyle w:val="ProductList-Offering2Heading"/>
        <w:keepNext/>
        <w:tabs>
          <w:tab w:val="clear" w:pos="360"/>
          <w:tab w:val="clear" w:pos="720"/>
          <w:tab w:val="clear" w:pos="1080"/>
        </w:tabs>
        <w:outlineLvl w:val="2"/>
      </w:pPr>
      <w:bookmarkStart w:id="116" w:name="_Toc25746668"/>
      <w:r>
        <w:t>Azure Bot Service</w:t>
      </w:r>
      <w:bookmarkEnd w:id="111"/>
      <w:bookmarkEnd w:id="116"/>
    </w:p>
    <w:bookmarkEnd w:id="112"/>
    <w:p w14:paraId="63E7CDC4" w14:textId="77777777" w:rsidR="00220659" w:rsidRPr="00C64D1C" w:rsidRDefault="00220659" w:rsidP="003A0273">
      <w:pPr>
        <w:pStyle w:val="ProductList-Body"/>
        <w:keepNext/>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220659">
      <w:pPr>
        <w:spacing w:after="0"/>
        <w:rPr>
          <w:sz w:val="18"/>
          <w:szCs w:val="18"/>
        </w:rPr>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2928A2" w:rsidRDefault="00475864" w:rsidP="0022065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220659">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bookmarkStart w:id="117" w:name="_Toc513395508"/>
    <w:p w14:paraId="420D43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18" w:name="_Toc25746669"/>
      <w:r>
        <w:t>Azure Container Instances</w:t>
      </w:r>
      <w:bookmarkEnd w:id="117"/>
      <w:bookmarkEnd w:id="118"/>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2928A2" w:rsidRDefault="00426103" w:rsidP="00426103">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426103">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426103">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2928A2" w:rsidRDefault="00475864"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A40F90">
            <w:pPr>
              <w:pStyle w:val="ProductList-OfferingBody"/>
              <w:jc w:val="center"/>
            </w:pPr>
            <w:r>
              <w:t>&lt; 99,9 %</w:t>
            </w:r>
          </w:p>
        </w:tc>
        <w:tc>
          <w:tcPr>
            <w:tcW w:w="5400" w:type="dxa"/>
          </w:tcPr>
          <w:p w14:paraId="1CC04BED" w14:textId="77777777" w:rsidR="00426103" w:rsidRPr="0076238C" w:rsidRDefault="00426103" w:rsidP="00A40F90">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A40F90">
            <w:pPr>
              <w:pStyle w:val="ProductList-OfferingBody"/>
              <w:jc w:val="center"/>
            </w:pPr>
            <w:r>
              <w:t>&lt; 99 %</w:t>
            </w:r>
          </w:p>
        </w:tc>
        <w:tc>
          <w:tcPr>
            <w:tcW w:w="5400" w:type="dxa"/>
          </w:tcPr>
          <w:p w14:paraId="1AE09029" w14:textId="77777777" w:rsidR="00426103" w:rsidRPr="0076238C" w:rsidRDefault="00426103" w:rsidP="00A40F90">
            <w:pPr>
              <w:pStyle w:val="ProductList-OfferingBody"/>
              <w:jc w:val="center"/>
            </w:pPr>
            <w:r>
              <w:t>25%</w:t>
            </w:r>
          </w:p>
        </w:tc>
      </w:tr>
    </w:tbl>
    <w:p w14:paraId="11F45EF4"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3A0273">
      <w:pPr>
        <w:pStyle w:val="ProductList-Offering2Heading"/>
        <w:keepNext/>
        <w:tabs>
          <w:tab w:val="clear" w:pos="360"/>
          <w:tab w:val="clear" w:pos="720"/>
          <w:tab w:val="clear" w:pos="1080"/>
        </w:tabs>
        <w:outlineLvl w:val="2"/>
      </w:pPr>
      <w:bookmarkStart w:id="119" w:name="_Toc25746670"/>
      <w:bookmarkStart w:id="120" w:name="AzureCosmosDB"/>
      <w:r w:rsidRPr="00DB00B6">
        <w:t>Azure Cosmos DB</w:t>
      </w:r>
      <w:bookmarkEnd w:id="113"/>
      <w:bookmarkEnd w:id="119"/>
    </w:p>
    <w:bookmarkEnd w:id="120"/>
    <w:p w14:paraId="49C96515" w14:textId="77777777" w:rsidR="00B83710" w:rsidRPr="00DB00B6" w:rsidRDefault="00B83710" w:rsidP="00B83710">
      <w:pPr>
        <w:pStyle w:val="ProductList-Body"/>
      </w:pPr>
      <w:r w:rsidRPr="00DB00B6">
        <w:rPr>
          <w:b/>
          <w:color w:val="00188F"/>
        </w:rPr>
        <w:t>Définitions supplémentaires </w:t>
      </w:r>
      <w:r w:rsidRPr="006E70DE">
        <w:t>:</w:t>
      </w:r>
    </w:p>
    <w:p w14:paraId="581F8111" w14:textId="77777777" w:rsidR="00852618" w:rsidRPr="00EF7CF9" w:rsidRDefault="00852618" w:rsidP="00852618">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852618">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62587B05" w14:textId="77777777" w:rsidR="00852618" w:rsidRPr="00383AAC" w:rsidRDefault="00852618" w:rsidP="00852618">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852618">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2F3A6563" w14:textId="77777777" w:rsidR="00A40F90" w:rsidRPr="002B713E" w:rsidRDefault="00A40F90" w:rsidP="00A40F90">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362FF7">
      <w:pPr>
        <w:pStyle w:val="ProductList-Body"/>
      </w:pPr>
    </w:p>
    <w:p w14:paraId="3954E579" w14:textId="77777777" w:rsidR="00362FF7" w:rsidRPr="002928A2" w:rsidRDefault="00362FF7" w:rsidP="00362FF7">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881FE0" w14:textId="77777777" w:rsidR="00852618" w:rsidRPr="00EF7CF9" w:rsidRDefault="00852618" w:rsidP="00852618">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362FF7">
      <w:pPr>
        <w:pStyle w:val="ProductList-Body"/>
        <w:ind w:left="360"/>
      </w:pPr>
    </w:p>
    <w:p w14:paraId="0A11552A" w14:textId="77777777" w:rsidR="00362FF7" w:rsidRPr="002928A2" w:rsidRDefault="00362FF7" w:rsidP="00362FF7">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044A5CC5" w:rsidR="00B83710" w:rsidRDefault="00B83710" w:rsidP="00B83710">
      <w:pPr>
        <w:pStyle w:val="ProductList-Body"/>
      </w:pPr>
    </w:p>
    <w:p w14:paraId="73F4D43E" w14:textId="77777777" w:rsidR="00A40F90" w:rsidRPr="002B713E" w:rsidRDefault="00A40F90" w:rsidP="00A40F90">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A40F90">
      <w:pPr>
        <w:pStyle w:val="ProductList-Body"/>
        <w:ind w:left="360"/>
      </w:pPr>
    </w:p>
    <w:p w14:paraId="39918098" w14:textId="77777777" w:rsidR="00A40F90" w:rsidRPr="002928A2" w:rsidRDefault="00A40F90" w:rsidP="00A40F90">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A40F90">
      <w:pPr>
        <w:pStyle w:val="ProductList-Body"/>
        <w:keepNext/>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A40F90">
            <w:pPr>
              <w:pStyle w:val="ProductList-OfferingBody"/>
              <w:jc w:val="center"/>
            </w:pPr>
            <w:r>
              <w:t>&lt; 99,999 %</w:t>
            </w:r>
          </w:p>
        </w:tc>
        <w:tc>
          <w:tcPr>
            <w:tcW w:w="5220" w:type="dxa"/>
          </w:tcPr>
          <w:p w14:paraId="08F3C8C5" w14:textId="77777777" w:rsidR="00A40F90" w:rsidRPr="00EF7CF9" w:rsidRDefault="00A40F90" w:rsidP="00A40F90">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A40F90">
            <w:pPr>
              <w:pStyle w:val="ProductList-OfferingBody"/>
              <w:jc w:val="center"/>
            </w:pPr>
            <w:r>
              <w:t>&lt; 99 %</w:t>
            </w:r>
          </w:p>
        </w:tc>
        <w:tc>
          <w:tcPr>
            <w:tcW w:w="5220" w:type="dxa"/>
          </w:tcPr>
          <w:p w14:paraId="233C2B7F" w14:textId="77777777" w:rsidR="00A40F90" w:rsidRPr="00EF7CF9" w:rsidRDefault="00A40F90" w:rsidP="00A40F90">
            <w:pPr>
              <w:pStyle w:val="ProductList-OfferingBody"/>
              <w:jc w:val="center"/>
            </w:pPr>
            <w:r>
              <w:t>25 %</w:t>
            </w:r>
          </w:p>
        </w:tc>
      </w:tr>
    </w:tbl>
    <w:p w14:paraId="56530BBE" w14:textId="77777777" w:rsidR="00A40F90" w:rsidRPr="002B713E" w:rsidRDefault="00A40F90" w:rsidP="00A40F90">
      <w:pPr>
        <w:pStyle w:val="ProductList-Body"/>
      </w:pPr>
    </w:p>
    <w:p w14:paraId="4AF64C05" w14:textId="77777777" w:rsidR="00A40F90" w:rsidRPr="002B713E" w:rsidRDefault="00A40F90" w:rsidP="00A40F90">
      <w:pPr>
        <w:pStyle w:val="ProductList-Body"/>
        <w:tabs>
          <w:tab w:val="clear" w:pos="360"/>
        </w:tabs>
      </w:pPr>
      <w:r>
        <w:rPr>
          <w:b/>
          <w:color w:val="00188F"/>
        </w:rPr>
        <w:t>SLA de Débit</w:t>
      </w:r>
    </w:p>
    <w:p w14:paraId="27DAA3D2" w14:textId="77777777" w:rsidR="00852618" w:rsidRPr="00EF7CF9" w:rsidRDefault="00852618" w:rsidP="00852618">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852618">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285B3D">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285B3D">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285B3D">
            <w:pPr>
              <w:pStyle w:val="ProductList-OfferingBody"/>
              <w:jc w:val="center"/>
            </w:pPr>
            <w:r>
              <w:t>&lt; 99,99 %</w:t>
            </w:r>
          </w:p>
        </w:tc>
        <w:tc>
          <w:tcPr>
            <w:tcW w:w="5220" w:type="dxa"/>
          </w:tcPr>
          <w:p w14:paraId="3ED86397" w14:textId="77777777" w:rsidR="00852618" w:rsidRPr="00EF7CF9" w:rsidRDefault="00852618" w:rsidP="00285B3D">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285B3D">
            <w:pPr>
              <w:pStyle w:val="ProductList-OfferingBody"/>
              <w:jc w:val="center"/>
            </w:pPr>
            <w:r>
              <w:t>&lt; 99 %</w:t>
            </w:r>
          </w:p>
        </w:tc>
        <w:tc>
          <w:tcPr>
            <w:tcW w:w="5220" w:type="dxa"/>
          </w:tcPr>
          <w:p w14:paraId="21976E1E" w14:textId="77777777" w:rsidR="00852618" w:rsidRPr="00EF7CF9" w:rsidRDefault="00852618" w:rsidP="00285B3D">
            <w:pPr>
              <w:pStyle w:val="ProductList-OfferingBody"/>
              <w:jc w:val="center"/>
            </w:pPr>
            <w:r>
              <w:t>25%</w:t>
            </w:r>
          </w:p>
        </w:tc>
      </w:tr>
    </w:tbl>
    <w:p w14:paraId="3EE419E3" w14:textId="77777777" w:rsidR="00852618" w:rsidRPr="00EF7CF9" w:rsidRDefault="00852618" w:rsidP="00852618">
      <w:pPr>
        <w:pStyle w:val="ProductList-Body"/>
      </w:pPr>
    </w:p>
    <w:p w14:paraId="4FC1FAF2" w14:textId="77777777" w:rsidR="00852618" w:rsidRPr="00EF7CF9" w:rsidRDefault="00852618" w:rsidP="00852618">
      <w:pPr>
        <w:pStyle w:val="ProductList-Body"/>
        <w:tabs>
          <w:tab w:val="clear" w:pos="360"/>
        </w:tabs>
        <w:rPr>
          <w:b/>
          <w:color w:val="00188F"/>
        </w:rPr>
      </w:pPr>
      <w:r>
        <w:rPr>
          <w:b/>
          <w:color w:val="00188F"/>
        </w:rPr>
        <w:t>SLA de Cohérence</w:t>
      </w:r>
    </w:p>
    <w:p w14:paraId="5FC4FBD1" w14:textId="77777777" w:rsidR="00852618" w:rsidRPr="00EF7CF9" w:rsidRDefault="00852618" w:rsidP="00852618">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852618">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A40F90">
      <w:pPr>
        <w:pStyle w:val="ProductList-Body"/>
        <w:ind w:left="360"/>
      </w:pPr>
      <w:r>
        <w:lastRenderedPageBreak/>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2928A2" w:rsidRDefault="00B83710" w:rsidP="00B83710">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285B3D">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285B3D">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285B3D">
            <w:pPr>
              <w:pStyle w:val="ProductList-OfferingBody"/>
              <w:jc w:val="center"/>
            </w:pPr>
            <w:r>
              <w:t>&lt; 99,99 %</w:t>
            </w:r>
          </w:p>
        </w:tc>
        <w:tc>
          <w:tcPr>
            <w:tcW w:w="5220" w:type="dxa"/>
          </w:tcPr>
          <w:p w14:paraId="31E6282E" w14:textId="77777777" w:rsidR="00852618" w:rsidRPr="00EF7CF9" w:rsidRDefault="00852618" w:rsidP="00285B3D">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285B3D">
            <w:pPr>
              <w:pStyle w:val="ProductList-OfferingBody"/>
              <w:jc w:val="center"/>
            </w:pPr>
            <w:r>
              <w:t>&lt; 99 %</w:t>
            </w:r>
          </w:p>
        </w:tc>
        <w:tc>
          <w:tcPr>
            <w:tcW w:w="5220" w:type="dxa"/>
          </w:tcPr>
          <w:p w14:paraId="1658EEB4" w14:textId="77777777" w:rsidR="00852618" w:rsidRPr="00EF7CF9" w:rsidRDefault="00852618" w:rsidP="00285B3D">
            <w:pPr>
              <w:pStyle w:val="ProductList-OfferingBody"/>
              <w:jc w:val="center"/>
            </w:pPr>
            <w:r>
              <w:t>25%</w:t>
            </w:r>
          </w:p>
        </w:tc>
      </w:tr>
    </w:tbl>
    <w:p w14:paraId="2115D6EB" w14:textId="77777777" w:rsidR="00852618" w:rsidRPr="00EF7CF9" w:rsidRDefault="00852618" w:rsidP="00852618">
      <w:pPr>
        <w:pStyle w:val="ProductList-Body"/>
        <w:tabs>
          <w:tab w:val="clear" w:pos="360"/>
        </w:tabs>
        <w:rPr>
          <w:b/>
          <w:color w:val="00188F"/>
        </w:rPr>
      </w:pPr>
      <w:r>
        <w:rPr>
          <w:b/>
          <w:color w:val="00188F"/>
        </w:rPr>
        <w:t>SLA de Latence</w:t>
      </w:r>
    </w:p>
    <w:p w14:paraId="5DE2BAD4" w14:textId="77777777" w:rsidR="00852618" w:rsidRPr="00EF7CF9" w:rsidRDefault="00852618" w:rsidP="00852618">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852618">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852618">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852618">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852618">
      <w:pPr>
        <w:pStyle w:val="ListParagraph"/>
        <w:spacing w:after="0" w:line="240" w:lineRule="auto"/>
        <w:ind w:left="360"/>
        <w:rPr>
          <w:rFonts w:eastAsiaTheme="minorEastAsia"/>
          <w:sz w:val="18"/>
        </w:rPr>
      </w:pPr>
    </w:p>
    <w:p w14:paraId="788E5B71" w14:textId="77777777" w:rsidR="00852618" w:rsidRPr="00EF7CF9" w:rsidRDefault="00852618" w:rsidP="00852618">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852618">
      <w:pPr>
        <w:pStyle w:val="ProductList-Body"/>
        <w:ind w:left="360"/>
      </w:pPr>
      <w:r>
        <w:t>« </w:t>
      </w:r>
      <w:r>
        <w:rPr>
          <w:b/>
          <w:color w:val="0072C6"/>
        </w:rPr>
        <w:t>Latence P99</w:t>
      </w:r>
      <w:r>
        <w:t> » est la valeur du Rang Ordinal de S.</w:t>
      </w:r>
    </w:p>
    <w:p w14:paraId="0BD51BD4" w14:textId="77777777" w:rsidR="00852618" w:rsidRPr="00EF7CF9" w:rsidRDefault="00852618" w:rsidP="00852618">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852618">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A40F90">
      <w:pPr>
        <w:pStyle w:val="ProductList-Body"/>
        <w:ind w:left="360"/>
      </w:pPr>
    </w:p>
    <w:p w14:paraId="1F013A3F" w14:textId="77777777" w:rsidR="00A40F90" w:rsidRPr="002B713E" w:rsidRDefault="00A40F90" w:rsidP="00A40F90">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w:t>
      </w:r>
      <w:r>
        <w:lastRenderedPageBreak/>
        <w:t>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bookmarkStart w:id="121" w:name="_Toc513395510"/>
    <w:p w14:paraId="66EB676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22" w:name="_Toc25746671"/>
      <w:r>
        <w:t>Azure Database pour MySQL</w:t>
      </w:r>
      <w:bookmarkEnd w:id="121"/>
      <w:bookmarkEnd w:id="122"/>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2928A2" w:rsidRDefault="00475864"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A40F90">
            <w:pPr>
              <w:pStyle w:val="ProductList-OfferingBody"/>
              <w:jc w:val="center"/>
            </w:pPr>
            <w:r>
              <w:t>&lt; 99,99 %</w:t>
            </w:r>
          </w:p>
        </w:tc>
        <w:tc>
          <w:tcPr>
            <w:tcW w:w="5400" w:type="dxa"/>
          </w:tcPr>
          <w:p w14:paraId="2AA4A9BF" w14:textId="77777777" w:rsidR="00426103" w:rsidRPr="0076238C" w:rsidRDefault="00426103" w:rsidP="00A40F90">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A40F90">
            <w:pPr>
              <w:pStyle w:val="ProductList-OfferingBody"/>
              <w:jc w:val="center"/>
            </w:pPr>
            <w:r>
              <w:t>&lt; 99 %</w:t>
            </w:r>
          </w:p>
        </w:tc>
        <w:tc>
          <w:tcPr>
            <w:tcW w:w="5400" w:type="dxa"/>
          </w:tcPr>
          <w:p w14:paraId="3CBDEACE" w14:textId="77777777" w:rsidR="00426103" w:rsidRPr="0076238C" w:rsidRDefault="00426103" w:rsidP="00A40F90">
            <w:pPr>
              <w:pStyle w:val="ProductList-OfferingBody"/>
              <w:jc w:val="center"/>
            </w:pPr>
            <w:r>
              <w:t>25%</w:t>
            </w:r>
          </w:p>
        </w:tc>
      </w:tr>
    </w:tbl>
    <w:bookmarkStart w:id="123" w:name="_Toc513395511"/>
    <w:p w14:paraId="6FEB573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24" w:name="_Toc25746672"/>
      <w:r>
        <w:t>Azure Database pour PostgreSQL</w:t>
      </w:r>
      <w:bookmarkEnd w:id="123"/>
      <w:bookmarkEnd w:id="124"/>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2928A2" w:rsidRDefault="00475864"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A40F90">
            <w:pPr>
              <w:pStyle w:val="ProductList-OfferingBody"/>
              <w:jc w:val="center"/>
            </w:pPr>
            <w:r>
              <w:t>&lt; 99,99 %</w:t>
            </w:r>
          </w:p>
        </w:tc>
        <w:tc>
          <w:tcPr>
            <w:tcW w:w="5400" w:type="dxa"/>
          </w:tcPr>
          <w:p w14:paraId="4167BD88" w14:textId="77777777" w:rsidR="00426103" w:rsidRPr="0076238C" w:rsidRDefault="00426103" w:rsidP="00A40F90">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A40F90">
            <w:pPr>
              <w:pStyle w:val="ProductList-OfferingBody"/>
              <w:jc w:val="center"/>
            </w:pPr>
            <w:r>
              <w:t>&lt; 99 %</w:t>
            </w:r>
          </w:p>
        </w:tc>
        <w:tc>
          <w:tcPr>
            <w:tcW w:w="5400" w:type="dxa"/>
          </w:tcPr>
          <w:p w14:paraId="4FB46CE0" w14:textId="77777777" w:rsidR="00426103" w:rsidRPr="0076238C" w:rsidRDefault="00426103" w:rsidP="00A40F90">
            <w:pPr>
              <w:pStyle w:val="ProductList-OfferingBody"/>
              <w:jc w:val="center"/>
            </w:pPr>
            <w:r>
              <w:t>25%</w:t>
            </w:r>
          </w:p>
        </w:tc>
      </w:tr>
    </w:tbl>
    <w:bookmarkStart w:id="125" w:name="_Toc513395512"/>
    <w:p w14:paraId="327E205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26" w:name="_Toc25746673"/>
      <w:r>
        <w:t>Azure DDoS Protection</w:t>
      </w:r>
      <w:bookmarkEnd w:id="125"/>
      <w:bookmarkEnd w:id="126"/>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lastRenderedPageBreak/>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2928A2" w:rsidRDefault="00475864"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3A0273">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3A0273">
            <w:pPr>
              <w:pStyle w:val="ProductList-OfferingBody"/>
              <w:keepNext/>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3A0273">
            <w:pPr>
              <w:pStyle w:val="ProductList-OfferingBody"/>
              <w:keepNext/>
              <w:jc w:val="center"/>
            </w:pPr>
            <w:r>
              <w:t>&lt; 99,99 %</w:t>
            </w:r>
          </w:p>
        </w:tc>
        <w:tc>
          <w:tcPr>
            <w:tcW w:w="5400" w:type="dxa"/>
          </w:tcPr>
          <w:p w14:paraId="3C7A4539" w14:textId="77777777" w:rsidR="00426103" w:rsidRPr="0076238C" w:rsidRDefault="00426103" w:rsidP="003A0273">
            <w:pPr>
              <w:pStyle w:val="ProductList-OfferingBody"/>
              <w:keepNext/>
              <w:jc w:val="center"/>
            </w:pPr>
            <w:r>
              <w:t>10%</w:t>
            </w:r>
          </w:p>
        </w:tc>
      </w:tr>
      <w:tr w:rsidR="00426103" w:rsidRPr="002928A2" w14:paraId="5FFEF9F8" w14:textId="77777777" w:rsidTr="00A40F90">
        <w:tc>
          <w:tcPr>
            <w:tcW w:w="5400" w:type="dxa"/>
          </w:tcPr>
          <w:p w14:paraId="5AD5ABD9" w14:textId="77777777" w:rsidR="00426103" w:rsidRPr="0076238C" w:rsidRDefault="00426103" w:rsidP="00A40F90">
            <w:pPr>
              <w:pStyle w:val="ProductList-OfferingBody"/>
              <w:jc w:val="center"/>
            </w:pPr>
            <w:r>
              <w:t>&lt; 99,95 %</w:t>
            </w:r>
          </w:p>
        </w:tc>
        <w:tc>
          <w:tcPr>
            <w:tcW w:w="5400" w:type="dxa"/>
          </w:tcPr>
          <w:p w14:paraId="522E9460" w14:textId="77777777" w:rsidR="00426103" w:rsidRPr="0076238C" w:rsidRDefault="00426103" w:rsidP="00A40F90">
            <w:pPr>
              <w:pStyle w:val="ProductList-OfferingBody"/>
              <w:jc w:val="center"/>
            </w:pPr>
            <w:r>
              <w:t>25%</w:t>
            </w:r>
          </w:p>
        </w:tc>
      </w:tr>
    </w:tbl>
    <w:bookmarkStart w:id="127" w:name="_Toc526859657"/>
    <w:p w14:paraId="2BAC76F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852618">
      <w:pPr>
        <w:pStyle w:val="ProductList-Offering2Heading"/>
        <w:keepNext/>
        <w:tabs>
          <w:tab w:val="clear" w:pos="360"/>
          <w:tab w:val="clear" w:pos="720"/>
          <w:tab w:val="clear" w:pos="1080"/>
        </w:tabs>
        <w:outlineLvl w:val="2"/>
      </w:pPr>
      <w:bookmarkStart w:id="128" w:name="_Toc25746674"/>
      <w:r>
        <w:t>Azure DNS</w:t>
      </w:r>
      <w:bookmarkEnd w:id="127"/>
      <w:bookmarkEnd w:id="128"/>
    </w:p>
    <w:p w14:paraId="2C28BAE7" w14:textId="77777777" w:rsidR="00A40F90" w:rsidRPr="002B713E" w:rsidRDefault="00A40F90" w:rsidP="00852618">
      <w:pPr>
        <w:pStyle w:val="ProductList-Body"/>
        <w:keepNext/>
      </w:pPr>
      <w:r>
        <w:rPr>
          <w:b/>
          <w:color w:val="00188F"/>
        </w:rPr>
        <w:t>Définitions supplémentaires</w:t>
      </w:r>
      <w:r>
        <w:t> </w:t>
      </w:r>
      <w:r w:rsidRPr="001C0AF8">
        <w:rPr>
          <w:b/>
        </w:rPr>
        <w:t>:</w:t>
      </w:r>
    </w:p>
    <w:p w14:paraId="3196F9B9" w14:textId="77777777" w:rsidR="00A40F90" w:rsidRPr="002B713E" w:rsidRDefault="00A40F90" w:rsidP="00A40F90">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A40F90">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A40F90">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A40F90">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A40F90">
      <w:pPr>
        <w:pStyle w:val="ProductList-Body"/>
      </w:pPr>
    </w:p>
    <w:p w14:paraId="01F1FB24"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A40F90">
      <w:pPr>
        <w:pStyle w:val="ProductList-Body"/>
      </w:pPr>
    </w:p>
    <w:p w14:paraId="130D7EB4" w14:textId="77777777" w:rsidR="00A40F90" w:rsidRPr="002928A2" w:rsidRDefault="00475864"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A40F90">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A40F90">
            <w:pPr>
              <w:pStyle w:val="ProductList-OfferingBody"/>
              <w:jc w:val="center"/>
            </w:pPr>
            <w:r>
              <w:t>&lt; 100 %</w:t>
            </w:r>
          </w:p>
        </w:tc>
        <w:tc>
          <w:tcPr>
            <w:tcW w:w="5400" w:type="dxa"/>
          </w:tcPr>
          <w:p w14:paraId="433B2606" w14:textId="77777777" w:rsidR="00A40F90" w:rsidRPr="005A3C16" w:rsidRDefault="00A40F90" w:rsidP="00A40F90">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A40F90">
            <w:pPr>
              <w:pStyle w:val="ProductList-OfferingBody"/>
              <w:jc w:val="center"/>
            </w:pPr>
            <w:r>
              <w:t>&lt; 99,99 %</w:t>
            </w:r>
          </w:p>
        </w:tc>
        <w:tc>
          <w:tcPr>
            <w:tcW w:w="5400" w:type="dxa"/>
          </w:tcPr>
          <w:p w14:paraId="2B9FF547" w14:textId="77777777" w:rsidR="00A40F90" w:rsidRPr="005A3C16" w:rsidRDefault="00A40F90" w:rsidP="00A40F90">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A40F90">
            <w:pPr>
              <w:pStyle w:val="ProductList-OfferingBody"/>
              <w:jc w:val="center"/>
            </w:pPr>
            <w:r>
              <w:t>&lt; 99,5 %</w:t>
            </w:r>
          </w:p>
        </w:tc>
        <w:tc>
          <w:tcPr>
            <w:tcW w:w="5400" w:type="dxa"/>
          </w:tcPr>
          <w:p w14:paraId="6A70F25C" w14:textId="77777777" w:rsidR="00A40F90" w:rsidRPr="005A3C16" w:rsidRDefault="00A40F90" w:rsidP="00A40F90">
            <w:pPr>
              <w:pStyle w:val="ProductList-OfferingBody"/>
              <w:jc w:val="center"/>
            </w:pPr>
            <w:r>
              <w:t>100 %</w:t>
            </w:r>
          </w:p>
        </w:tc>
      </w:tr>
    </w:tbl>
    <w:bookmarkStart w:id="129" w:name="_Toc526859658"/>
    <w:p w14:paraId="125C99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A40F90">
      <w:pPr>
        <w:pStyle w:val="ProductList-Offering2Heading"/>
        <w:keepNext/>
        <w:tabs>
          <w:tab w:val="clear" w:pos="360"/>
          <w:tab w:val="clear" w:pos="720"/>
          <w:tab w:val="clear" w:pos="1080"/>
        </w:tabs>
        <w:outlineLvl w:val="2"/>
      </w:pPr>
      <w:bookmarkStart w:id="130" w:name="_Toc25746675"/>
      <w:r>
        <w:t>Pare-feu Azure</w:t>
      </w:r>
      <w:bookmarkEnd w:id="129"/>
      <w:bookmarkEnd w:id="130"/>
    </w:p>
    <w:p w14:paraId="12022F21" w14:textId="77777777" w:rsidR="00A40F90" w:rsidRPr="002B713E" w:rsidRDefault="00A40F90" w:rsidP="00A40F90">
      <w:pPr>
        <w:pStyle w:val="ProductList-Body"/>
      </w:pPr>
      <w:r>
        <w:rPr>
          <w:b/>
          <w:color w:val="00188F"/>
        </w:rPr>
        <w:t>Définitions supplémentaires</w:t>
      </w:r>
      <w:r>
        <w:t> </w:t>
      </w:r>
      <w:r w:rsidRPr="001C0AF8">
        <w:rPr>
          <w:b/>
        </w:rPr>
        <w:t>:</w:t>
      </w:r>
    </w:p>
    <w:p w14:paraId="78D6C905" w14:textId="77777777" w:rsidR="00A40F90" w:rsidRPr="002B713E" w:rsidRDefault="00A40F90" w:rsidP="00A40F90">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A40F90">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A40F90">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A40F90">
      <w:pPr>
        <w:pStyle w:val="ProductList-Body"/>
      </w:pPr>
    </w:p>
    <w:p w14:paraId="45591F4A"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A40F90">
      <w:pPr>
        <w:pStyle w:val="ProductList-Body"/>
      </w:pPr>
    </w:p>
    <w:p w14:paraId="6009755E" w14:textId="77777777" w:rsidR="00A40F90" w:rsidRPr="002928A2" w:rsidRDefault="00475864"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992B6D">
      <w:pPr>
        <w:pStyle w:val="ProductList-Body"/>
        <w:keepNext/>
      </w:pPr>
      <w:r>
        <w:rPr>
          <w:b/>
          <w:color w:val="00188F"/>
        </w:rPr>
        <w:lastRenderedPageBreak/>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A40F90">
            <w:pPr>
              <w:pStyle w:val="ProductList-OfferingBody"/>
              <w:jc w:val="center"/>
            </w:pPr>
            <w:r>
              <w:t>&lt; 99,95 %</w:t>
            </w:r>
          </w:p>
        </w:tc>
        <w:tc>
          <w:tcPr>
            <w:tcW w:w="5400" w:type="dxa"/>
          </w:tcPr>
          <w:p w14:paraId="1F3D45A9" w14:textId="77777777" w:rsidR="00A40F90" w:rsidRPr="005A3C16" w:rsidRDefault="00A40F90" w:rsidP="00A40F90">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A40F90">
            <w:pPr>
              <w:pStyle w:val="ProductList-OfferingBody"/>
              <w:jc w:val="center"/>
            </w:pPr>
            <w:r>
              <w:t>&lt; 99 %</w:t>
            </w:r>
          </w:p>
        </w:tc>
        <w:tc>
          <w:tcPr>
            <w:tcW w:w="5400" w:type="dxa"/>
          </w:tcPr>
          <w:p w14:paraId="4AE72371" w14:textId="77777777" w:rsidR="00A40F90" w:rsidRPr="005A3C16" w:rsidRDefault="00A40F90" w:rsidP="00A40F90">
            <w:pPr>
              <w:pStyle w:val="ProductList-OfferingBody"/>
              <w:jc w:val="center"/>
            </w:pPr>
            <w:r>
              <w:t>25 %</w:t>
            </w:r>
          </w:p>
        </w:tc>
      </w:tr>
    </w:tbl>
    <w:p w14:paraId="05843C0A"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3A0273">
      <w:pPr>
        <w:pStyle w:val="ProductList-Offering2Heading"/>
        <w:keepNext/>
        <w:tabs>
          <w:tab w:val="clear" w:pos="360"/>
          <w:tab w:val="clear" w:pos="720"/>
          <w:tab w:val="clear" w:pos="1080"/>
        </w:tabs>
        <w:outlineLvl w:val="2"/>
      </w:pPr>
      <w:bookmarkStart w:id="131" w:name="_Toc25746676"/>
      <w:r>
        <w:t>Fonctions Azure</w:t>
      </w:r>
      <w:bookmarkEnd w:id="131"/>
    </w:p>
    <w:p w14:paraId="18CEF924" w14:textId="77777777" w:rsidR="00A90E39" w:rsidRPr="002928A2" w:rsidRDefault="00A90E39" w:rsidP="00A90E39">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A90E39">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A90E39">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2928A2" w:rsidRDefault="00475864" w:rsidP="00A90E3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bookmarkStart w:id="132" w:name="_Toc531162428"/>
    <w:bookmarkStart w:id="133" w:name="_Toc5018197"/>
    <w:bookmarkStart w:id="134" w:name="_Toc510793664"/>
    <w:bookmarkStart w:id="135" w:name="_Toc484160665"/>
    <w:p w14:paraId="3D000FD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9C340C">
      <w:pPr>
        <w:pStyle w:val="ProductList-Offering2Heading"/>
        <w:tabs>
          <w:tab w:val="clear" w:pos="360"/>
          <w:tab w:val="clear" w:pos="720"/>
          <w:tab w:val="clear" w:pos="1080"/>
        </w:tabs>
        <w:outlineLvl w:val="2"/>
      </w:pPr>
      <w:bookmarkStart w:id="136" w:name="_Toc25746677"/>
      <w:r w:rsidRPr="00086FBA">
        <w:t>Services Azure Lab</w:t>
      </w:r>
      <w:bookmarkEnd w:id="132"/>
      <w:bookmarkEnd w:id="133"/>
      <w:bookmarkEnd w:id="136"/>
    </w:p>
    <w:p w14:paraId="014194D5" w14:textId="77777777" w:rsidR="009C340C" w:rsidRPr="00086FBA" w:rsidRDefault="009C340C" w:rsidP="009C340C">
      <w:pPr>
        <w:pStyle w:val="ProductList-Body"/>
        <w:rPr>
          <w:b/>
          <w:color w:val="00188F"/>
        </w:rPr>
      </w:pPr>
      <w:r w:rsidRPr="00086FBA">
        <w:rPr>
          <w:b/>
          <w:color w:val="00188F"/>
        </w:rPr>
        <w:t>Définitions supplémentaires :</w:t>
      </w:r>
    </w:p>
    <w:p w14:paraId="4BF75C69"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9C340C">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9C340C">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9C340C">
      <w:pPr>
        <w:pStyle w:val="ProductList-Body"/>
      </w:pPr>
    </w:p>
    <w:p w14:paraId="5016C2D2" w14:textId="77777777" w:rsidR="009C340C" w:rsidRPr="00086FBA" w:rsidRDefault="009C340C" w:rsidP="009C340C">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9C340C">
      <w:pPr>
        <w:pStyle w:val="ProductList-Body"/>
      </w:pPr>
    </w:p>
    <w:p w14:paraId="7B16C3AA" w14:textId="77777777" w:rsidR="009C340C" w:rsidRPr="00086FBA" w:rsidRDefault="00475864" w:rsidP="009C34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9C340C">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9C340C">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9C340C">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9C340C">
            <w:pPr>
              <w:pStyle w:val="ProductList-OfferingBody"/>
              <w:jc w:val="center"/>
            </w:pPr>
            <w:r w:rsidRPr="00086FBA">
              <w:t>&lt; 99,9 %</w:t>
            </w:r>
          </w:p>
        </w:tc>
        <w:tc>
          <w:tcPr>
            <w:tcW w:w="5400" w:type="dxa"/>
          </w:tcPr>
          <w:p w14:paraId="704B1073" w14:textId="77777777" w:rsidR="009C340C" w:rsidRPr="00086FBA" w:rsidRDefault="009C340C" w:rsidP="009C340C">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9C340C">
            <w:pPr>
              <w:pStyle w:val="ProductList-OfferingBody"/>
              <w:jc w:val="center"/>
            </w:pPr>
            <w:r w:rsidRPr="00086FBA">
              <w:lastRenderedPageBreak/>
              <w:t>&lt; 99 %</w:t>
            </w:r>
          </w:p>
        </w:tc>
        <w:tc>
          <w:tcPr>
            <w:tcW w:w="5400" w:type="dxa"/>
          </w:tcPr>
          <w:p w14:paraId="5D009382" w14:textId="77777777" w:rsidR="009C340C" w:rsidRPr="00086FBA" w:rsidRDefault="009C340C" w:rsidP="009C340C">
            <w:pPr>
              <w:pStyle w:val="ProductList-OfferingBody"/>
              <w:jc w:val="center"/>
            </w:pPr>
            <w:r w:rsidRPr="00086FBA">
              <w:t>25%</w:t>
            </w:r>
          </w:p>
        </w:tc>
      </w:tr>
    </w:tbl>
    <w:p w14:paraId="466BAA01"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3A0273">
      <w:pPr>
        <w:pStyle w:val="ProductList-Offering2Heading"/>
        <w:keepNext/>
        <w:tabs>
          <w:tab w:val="clear" w:pos="360"/>
          <w:tab w:val="clear" w:pos="720"/>
          <w:tab w:val="clear" w:pos="1080"/>
        </w:tabs>
        <w:outlineLvl w:val="2"/>
      </w:pPr>
      <w:bookmarkStart w:id="137" w:name="_Toc25746678"/>
      <w:r>
        <w:t>Azure Load Balancer</w:t>
      </w:r>
      <w:bookmarkEnd w:id="134"/>
      <w:bookmarkEnd w:id="137"/>
    </w:p>
    <w:p w14:paraId="1B5B4572" w14:textId="77777777" w:rsidR="00600023" w:rsidRPr="00552D87" w:rsidRDefault="00600023" w:rsidP="003A0273">
      <w:pPr>
        <w:pStyle w:val="ProductList-Body"/>
        <w:keepNext/>
      </w:pPr>
      <w:r>
        <w:rPr>
          <w:b/>
          <w:color w:val="00188F"/>
        </w:rPr>
        <w:t>Définitions supplémentaires</w:t>
      </w:r>
      <w:r>
        <w:t> </w:t>
      </w:r>
      <w:r w:rsidRPr="0086228D">
        <w:rPr>
          <w:b/>
          <w:bCs/>
        </w:rPr>
        <w:t>:</w:t>
      </w:r>
    </w:p>
    <w:p w14:paraId="1783E1FC"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600023">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2928A2" w:rsidRDefault="00475864" w:rsidP="0060002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8" w:name="_Toc513395515"/>
    <w:p w14:paraId="2B65C37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39" w:name="_Toc25746679"/>
      <w:r>
        <w:t>API Azure Maps</w:t>
      </w:r>
      <w:bookmarkEnd w:id="138"/>
      <w:bookmarkEnd w:id="139"/>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2928A2" w:rsidRDefault="00426103" w:rsidP="00426103">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426103">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2928A2" w:rsidRDefault="00475864"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A40F90">
            <w:pPr>
              <w:pStyle w:val="ProductList-OfferingBody"/>
              <w:jc w:val="center"/>
            </w:pPr>
            <w:r>
              <w:t>&lt; 99,9 %</w:t>
            </w:r>
          </w:p>
        </w:tc>
        <w:tc>
          <w:tcPr>
            <w:tcW w:w="5400" w:type="dxa"/>
          </w:tcPr>
          <w:p w14:paraId="1B26CCDC" w14:textId="77777777" w:rsidR="00426103" w:rsidRPr="0076238C" w:rsidRDefault="00426103" w:rsidP="00A40F90">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A40F90">
            <w:pPr>
              <w:pStyle w:val="ProductList-OfferingBody"/>
              <w:jc w:val="center"/>
            </w:pPr>
            <w:r>
              <w:t>&lt; 99 %</w:t>
            </w:r>
          </w:p>
        </w:tc>
        <w:tc>
          <w:tcPr>
            <w:tcW w:w="5400" w:type="dxa"/>
          </w:tcPr>
          <w:p w14:paraId="6B4CED63" w14:textId="77777777" w:rsidR="00426103" w:rsidRPr="0076238C" w:rsidRDefault="00426103" w:rsidP="00A40F90">
            <w:pPr>
              <w:pStyle w:val="ProductList-OfferingBody"/>
              <w:jc w:val="center"/>
            </w:pPr>
            <w:r>
              <w:t>25%</w:t>
            </w:r>
          </w:p>
        </w:tc>
      </w:tr>
    </w:tbl>
    <w:p w14:paraId="7A08F45C"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40" w:name="_Toc25746680"/>
      <w:r>
        <w:lastRenderedPageBreak/>
        <w:t>Azure Monitor</w:t>
      </w:r>
      <w:bookmarkEnd w:id="135"/>
      <w:bookmarkEnd w:id="140"/>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475864"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A40F90">
            <w:pPr>
              <w:pStyle w:val="ProductList-OfferingBody"/>
              <w:jc w:val="center"/>
            </w:pPr>
            <w:r>
              <w:t>&lt; 99,9 %</w:t>
            </w:r>
          </w:p>
        </w:tc>
        <w:tc>
          <w:tcPr>
            <w:tcW w:w="5382" w:type="dxa"/>
          </w:tcPr>
          <w:p w14:paraId="54B43A6D" w14:textId="77777777" w:rsidR="00582E8C" w:rsidRPr="0076238C" w:rsidRDefault="00582E8C" w:rsidP="00A40F90">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A40F90">
            <w:pPr>
              <w:pStyle w:val="ProductList-OfferingBody"/>
              <w:jc w:val="center"/>
            </w:pPr>
            <w:r>
              <w:t>&lt; 99 %</w:t>
            </w:r>
          </w:p>
        </w:tc>
        <w:tc>
          <w:tcPr>
            <w:tcW w:w="5382" w:type="dxa"/>
          </w:tcPr>
          <w:p w14:paraId="3C242845" w14:textId="77777777" w:rsidR="00582E8C" w:rsidRPr="0076238C" w:rsidRDefault="00582E8C" w:rsidP="00A40F90">
            <w:pPr>
              <w:pStyle w:val="ProductList-OfferingBody"/>
              <w:jc w:val="center"/>
            </w:pPr>
            <w:r>
              <w:t>25%</w:t>
            </w:r>
          </w:p>
        </w:tc>
      </w:tr>
    </w:tbl>
    <w:p w14:paraId="608797BA" w14:textId="77777777" w:rsidR="00A40F90" w:rsidRPr="002B713E" w:rsidRDefault="00A40F90" w:rsidP="00A40F90">
      <w:pPr>
        <w:pStyle w:val="ProductList-Body"/>
      </w:pPr>
      <w:r>
        <w:rPr>
          <w:i/>
          <w:szCs w:val="18"/>
        </w:rPr>
        <w:t>Reportez-vous également à Log Analytics et Application Insights.</w:t>
      </w:r>
      <w:r>
        <w:rPr>
          <w:rStyle w:val="Hyperlink"/>
          <w:szCs w:val="16"/>
        </w:rPr>
        <w:t xml:space="preserve"> </w:t>
      </w:r>
    </w:p>
    <w:bookmarkStart w:id="141" w:name="_Toc510793666"/>
    <w:p w14:paraId="449373D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42" w:name="_Toc25746681"/>
      <w:r>
        <w:t>Alertes Azure Monitor</w:t>
      </w:r>
      <w:bookmarkEnd w:id="141"/>
      <w:bookmarkEnd w:id="142"/>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2928A2" w:rsidRDefault="00582E8C" w:rsidP="00582E8C">
      <w:pPr>
        <w:spacing w:after="0" w:line="240" w:lineRule="auto"/>
        <w:rPr>
          <w:sz w:val="18"/>
          <w:szCs w:val="18"/>
        </w:rPr>
      </w:pPr>
      <w:bookmarkStart w:id="143"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3"/>
      <w:r>
        <w:rPr>
          <w:sz w:val="18"/>
        </w:rPr>
        <w:t xml:space="preserve"> en utilisant pour analyse des données d’événements d’analyse déjà disponibles pour le Service d'Alerte. </w:t>
      </w:r>
    </w:p>
    <w:p w14:paraId="16DC1BA8"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2928A2" w:rsidRDefault="00475864"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A40F90">
            <w:pPr>
              <w:pStyle w:val="ProductList-OfferingBody"/>
              <w:jc w:val="center"/>
            </w:pPr>
            <w:r>
              <w:t>&lt; 99,9 %</w:t>
            </w:r>
          </w:p>
        </w:tc>
        <w:tc>
          <w:tcPr>
            <w:tcW w:w="5337" w:type="dxa"/>
          </w:tcPr>
          <w:p w14:paraId="1F211735" w14:textId="77777777" w:rsidR="00582E8C" w:rsidRPr="0076238C" w:rsidRDefault="00582E8C" w:rsidP="00A40F90">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A40F90">
            <w:pPr>
              <w:pStyle w:val="ProductList-OfferingBody"/>
              <w:jc w:val="center"/>
            </w:pPr>
            <w:r>
              <w:t>&lt; 99 %</w:t>
            </w:r>
          </w:p>
        </w:tc>
        <w:tc>
          <w:tcPr>
            <w:tcW w:w="5337" w:type="dxa"/>
          </w:tcPr>
          <w:p w14:paraId="54E3805B" w14:textId="77777777" w:rsidR="00582E8C" w:rsidRPr="0076238C" w:rsidRDefault="00582E8C" w:rsidP="00A40F90">
            <w:pPr>
              <w:pStyle w:val="ProductList-OfferingBody"/>
              <w:jc w:val="center"/>
            </w:pPr>
            <w:r>
              <w:t>25%</w:t>
            </w:r>
          </w:p>
        </w:tc>
      </w:tr>
    </w:tbl>
    <w:bookmarkStart w:id="144" w:name="_Toc510793667"/>
    <w:p w14:paraId="67CFFA3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45" w:name="_Toc25746682"/>
      <w:r>
        <w:t>Livraison des Notifications Azure Monitor</w:t>
      </w:r>
      <w:bookmarkEnd w:id="144"/>
      <w:bookmarkEnd w:id="145"/>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582E8C">
      <w:pPr>
        <w:spacing w:after="0" w:line="240" w:lineRule="auto"/>
        <w:rPr>
          <w:sz w:val="18"/>
          <w:szCs w:val="18"/>
        </w:rPr>
      </w:pPr>
      <w:r w:rsidRPr="00426103">
        <w:rPr>
          <w:sz w:val="18"/>
        </w:rPr>
        <w:lastRenderedPageBreak/>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2928A2" w:rsidRDefault="00475864"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2928A2">
      <w:pPr>
        <w:pStyle w:val="ProductList-Body"/>
        <w:keepNext/>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A40F90">
            <w:pPr>
              <w:pStyle w:val="ProductList-OfferingBody"/>
              <w:jc w:val="center"/>
            </w:pPr>
            <w:r>
              <w:t>&lt; 99,9 %</w:t>
            </w:r>
          </w:p>
        </w:tc>
        <w:tc>
          <w:tcPr>
            <w:tcW w:w="5427" w:type="dxa"/>
          </w:tcPr>
          <w:p w14:paraId="7EDEB8F7" w14:textId="77777777" w:rsidR="00582E8C" w:rsidRPr="0076238C" w:rsidRDefault="00582E8C" w:rsidP="00A40F90">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A40F90">
            <w:pPr>
              <w:pStyle w:val="ProductList-OfferingBody"/>
              <w:jc w:val="center"/>
            </w:pPr>
            <w:r>
              <w:t>&lt; 99 %</w:t>
            </w:r>
          </w:p>
        </w:tc>
        <w:tc>
          <w:tcPr>
            <w:tcW w:w="5427" w:type="dxa"/>
          </w:tcPr>
          <w:p w14:paraId="347FF40E" w14:textId="77777777" w:rsidR="00582E8C" w:rsidRPr="0076238C" w:rsidRDefault="00582E8C" w:rsidP="00A40F90">
            <w:pPr>
              <w:pStyle w:val="ProductList-OfferingBody"/>
              <w:jc w:val="center"/>
            </w:pPr>
            <w:r>
              <w:t>25%</w:t>
            </w:r>
          </w:p>
        </w:tc>
      </w:tr>
    </w:tbl>
    <w:p w14:paraId="30BED42B"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46" w:name="_Toc25746683"/>
      <w:r>
        <w:t>Azure Security Center</w:t>
      </w:r>
      <w:bookmarkEnd w:id="146"/>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2928A2" w:rsidRDefault="00475864" w:rsidP="00DF28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bookmarkStart w:id="147" w:name="_Toc526859666"/>
    <w:bookmarkStart w:id="148" w:name="BatchService"/>
    <w:p w14:paraId="23DE345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A40F90">
      <w:pPr>
        <w:pStyle w:val="ProductList-Offering2Heading"/>
        <w:keepNext/>
        <w:tabs>
          <w:tab w:val="clear" w:pos="360"/>
          <w:tab w:val="clear" w:pos="720"/>
          <w:tab w:val="clear" w:pos="1080"/>
        </w:tabs>
        <w:outlineLvl w:val="2"/>
      </w:pPr>
      <w:bookmarkStart w:id="149" w:name="_Toc25746684"/>
      <w:r>
        <w:t>Azure Virtual WAN</w:t>
      </w:r>
      <w:bookmarkEnd w:id="147"/>
      <w:bookmarkEnd w:id="149"/>
    </w:p>
    <w:p w14:paraId="222095EB" w14:textId="77777777" w:rsidR="00A40F90" w:rsidRPr="002B713E" w:rsidRDefault="00A40F90" w:rsidP="00A40F90">
      <w:pPr>
        <w:pStyle w:val="ProductList-Body"/>
      </w:pPr>
      <w:r>
        <w:rPr>
          <w:b/>
          <w:color w:val="00188F"/>
        </w:rPr>
        <w:t>Définitions supplémentaires</w:t>
      </w:r>
      <w:r>
        <w:t> </w:t>
      </w:r>
      <w:r w:rsidRPr="00FA17F6">
        <w:rPr>
          <w:b/>
        </w:rPr>
        <w:t>:</w:t>
      </w:r>
    </w:p>
    <w:p w14:paraId="57241716" w14:textId="77777777" w:rsidR="00A40F90" w:rsidRPr="002B713E" w:rsidRDefault="00A40F90" w:rsidP="00A40F90">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A40F90">
      <w:pPr>
        <w:pStyle w:val="ProductList-Body"/>
      </w:pPr>
    </w:p>
    <w:p w14:paraId="11B4FD42" w14:textId="77777777" w:rsidR="00A40F90" w:rsidRPr="002B713E" w:rsidRDefault="00A40F90" w:rsidP="00A40F90">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A40F90">
      <w:pPr>
        <w:pStyle w:val="ProductList-Body"/>
      </w:pPr>
    </w:p>
    <w:p w14:paraId="14D77CDE" w14:textId="77777777" w:rsidR="00A40F90" w:rsidRPr="002928A2" w:rsidRDefault="00475864"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A40F90">
      <w:pPr>
        <w:pStyle w:val="ProductList-Body"/>
      </w:pPr>
      <w:r>
        <w:rPr>
          <w:b/>
          <w:color w:val="00188F"/>
        </w:rPr>
        <w:lastRenderedPageBreak/>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A40F90">
            <w:pPr>
              <w:pStyle w:val="ProductList-OfferingBody"/>
              <w:jc w:val="center"/>
            </w:pPr>
            <w:r>
              <w:t>&lt; 99,95 %</w:t>
            </w:r>
          </w:p>
        </w:tc>
        <w:tc>
          <w:tcPr>
            <w:tcW w:w="5400" w:type="dxa"/>
          </w:tcPr>
          <w:p w14:paraId="20893A4E" w14:textId="77777777" w:rsidR="00A40F90" w:rsidRPr="005A3C16" w:rsidRDefault="00A40F90" w:rsidP="00A40F90">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A40F90">
            <w:pPr>
              <w:pStyle w:val="ProductList-OfferingBody"/>
              <w:jc w:val="center"/>
            </w:pPr>
            <w:r>
              <w:t>&lt; 99 %</w:t>
            </w:r>
          </w:p>
        </w:tc>
        <w:tc>
          <w:tcPr>
            <w:tcW w:w="5400" w:type="dxa"/>
          </w:tcPr>
          <w:p w14:paraId="002C93C5" w14:textId="77777777" w:rsidR="00A40F90" w:rsidRPr="005A3C16" w:rsidRDefault="00A40F90" w:rsidP="00A40F90">
            <w:pPr>
              <w:pStyle w:val="ProductList-OfferingBody"/>
              <w:jc w:val="center"/>
            </w:pPr>
            <w:r>
              <w:t>25 %</w:t>
            </w:r>
          </w:p>
        </w:tc>
      </w:tr>
    </w:tbl>
    <w:p w14:paraId="1E8AA25B"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3D3190">
      <w:pPr>
        <w:pStyle w:val="ProductList-Offering2Heading"/>
        <w:keepNext/>
        <w:tabs>
          <w:tab w:val="clear" w:pos="360"/>
          <w:tab w:val="clear" w:pos="720"/>
          <w:tab w:val="clear" w:pos="1080"/>
        </w:tabs>
        <w:outlineLvl w:val="2"/>
      </w:pPr>
      <w:bookmarkStart w:id="150" w:name="_Toc25746685"/>
      <w:r>
        <w:t>Service Batch</w:t>
      </w:r>
      <w:bookmarkEnd w:id="114"/>
      <w:bookmarkEnd w:id="150"/>
    </w:p>
    <w:bookmarkEnd w:id="148"/>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2928A2" w:rsidRDefault="007B4942" w:rsidP="007B4942">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bookmarkStart w:id="151" w:name="_Toc444249054"/>
    <w:bookmarkStart w:id="152" w:name="_Toc457806454"/>
    <w:bookmarkStart w:id="153" w:name="_Toc457812836"/>
    <w:p w14:paraId="4783521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54" w:name="_Toc25746686"/>
      <w:r>
        <w:t>Service Backup</w:t>
      </w:r>
      <w:bookmarkEnd w:id="151"/>
      <w:bookmarkEnd w:id="152"/>
      <w:bookmarkEnd w:id="153"/>
      <w:bookmarkEnd w:id="154"/>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w:t>
      </w:r>
      <w:r>
        <w:lastRenderedPageBreak/>
        <w:t>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2928A2" w:rsidRDefault="00475864" w:rsidP="0075506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13F18F82"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55" w:name="_Toc25746687"/>
      <w:r w:rsidRPr="005A6CF1">
        <w:rPr>
          <w:lang w:val="en-US" w:eastAsia="en-US" w:bidi="ar-SA"/>
        </w:rPr>
        <w:t>Services BizTalk</w:t>
      </w:r>
      <w:bookmarkEnd w:id="155"/>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2928A2" w:rsidRDefault="0047586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56" w:name="_Toc25746688"/>
      <w:r w:rsidRPr="008E64FF">
        <w:rPr>
          <w:lang w:eastAsia="en-US" w:bidi="ar-SA"/>
        </w:rPr>
        <w:t>Services de Cache</w:t>
      </w:r>
      <w:bookmarkEnd w:id="156"/>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lastRenderedPageBreak/>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2928A2" w:rsidRDefault="0047586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57" w:name="_Toc25746689"/>
      <w:r w:rsidRPr="008E64FF">
        <w:rPr>
          <w:lang w:eastAsia="en-US" w:bidi="ar-SA"/>
        </w:rPr>
        <w:t>Service CDN</w:t>
      </w:r>
      <w:bookmarkEnd w:id="157"/>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120EF2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992B6D">
      <w:pPr>
        <w:pStyle w:val="ProductList-Offering2Heading"/>
        <w:keepNext/>
        <w:tabs>
          <w:tab w:val="clear" w:pos="360"/>
          <w:tab w:val="clear" w:pos="720"/>
          <w:tab w:val="clear" w:pos="1080"/>
        </w:tabs>
        <w:outlineLvl w:val="2"/>
      </w:pPr>
      <w:bookmarkStart w:id="164" w:name="_Toc25746690"/>
      <w:r>
        <w:lastRenderedPageBreak/>
        <w:t>Services cloud</w:t>
      </w:r>
      <w:bookmarkEnd w:id="158"/>
      <w:bookmarkEnd w:id="159"/>
      <w:bookmarkEnd w:id="160"/>
      <w:bookmarkEnd w:id="161"/>
      <w:bookmarkEnd w:id="164"/>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2928A2" w:rsidRDefault="00013400" w:rsidP="00013400">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bookmarkStart w:id="165" w:name="_Toc500147769"/>
    <w:p w14:paraId="628795F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66" w:name="_Toc25746691"/>
      <w:r>
        <w:t>Registre de Conteneurs</w:t>
      </w:r>
      <w:bookmarkEnd w:id="165"/>
      <w:bookmarkEnd w:id="166"/>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1B5349">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3A0273">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23FCD">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23FCD">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23FCD">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23FC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23FCD">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23FC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2928A2" w:rsidRDefault="00362FF7" w:rsidP="00362FF7">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362FF7">
      <w:pPr>
        <w:spacing w:before="240" w:after="0"/>
        <w:rPr>
          <w:sz w:val="18"/>
          <w:szCs w:val="18"/>
        </w:rPr>
      </w:pPr>
      <w:r>
        <w:rPr>
          <w:rFonts w:cstheme="minorHAnsi"/>
          <w:b/>
          <w:color w:val="00188F"/>
          <w:sz w:val="18"/>
          <w:szCs w:val="18"/>
        </w:rPr>
        <w:lastRenderedPageBreak/>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852618">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67" w:name="_Toc25746692"/>
      <w:r>
        <w:t>Catalogue de Données</w:t>
      </w:r>
      <w:bookmarkEnd w:id="162"/>
      <w:bookmarkEnd w:id="167"/>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2928A2" w:rsidRDefault="00BE3517" w:rsidP="00BE351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2928A2" w:rsidRDefault="00475864"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32E27716"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68" w:name="_Toc25746693"/>
      <w:r>
        <w:t>Data Factory - Exécutions d’Activité</w:t>
      </w:r>
      <w:bookmarkEnd w:id="163"/>
      <w:bookmarkEnd w:id="168"/>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2928A2" w:rsidRDefault="00475864" w:rsidP="0001339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bookmarkStart w:id="169" w:name="_Toc421206039"/>
    <w:p w14:paraId="34FF583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70" w:name="_Toc25746694"/>
      <w:r>
        <w:lastRenderedPageBreak/>
        <w:t>Data Factory - Appels d’API</w:t>
      </w:r>
      <w:bookmarkEnd w:id="169"/>
      <w:bookmarkEnd w:id="170"/>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bookmarkStart w:id="171" w:name="_Toc464226303"/>
    <w:p w14:paraId="42E80BE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72" w:name="_Toc25746695"/>
      <w:r>
        <w:t>Data Lake Analytics</w:t>
      </w:r>
      <w:bookmarkEnd w:id="171"/>
      <w:bookmarkEnd w:id="172"/>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2928A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bookmarkStart w:id="173" w:name="_Toc464226304"/>
    <w:p w14:paraId="5B1E43A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74" w:name="_Toc25746696"/>
      <w:r>
        <w:t>Data Lake Store</w:t>
      </w:r>
      <w:bookmarkEnd w:id="173"/>
      <w:bookmarkEnd w:id="174"/>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lastRenderedPageBreak/>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5ABC">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5ABC">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5ABC">
            <w:pPr>
              <w:pStyle w:val="ProductList-OfferingBody"/>
              <w:keepNext/>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5ABC">
            <w:pPr>
              <w:pStyle w:val="ProductList-OfferingBody"/>
              <w:keepNext/>
              <w:jc w:val="center"/>
            </w:pPr>
            <w:r>
              <w:t>&lt; 99,9 %</w:t>
            </w:r>
          </w:p>
        </w:tc>
        <w:tc>
          <w:tcPr>
            <w:tcW w:w="5400" w:type="dxa"/>
          </w:tcPr>
          <w:p w14:paraId="3E100A9E" w14:textId="77777777" w:rsidR="00781D31" w:rsidRPr="000C2CAE" w:rsidRDefault="00781D31" w:rsidP="00B65ABC">
            <w:pPr>
              <w:pStyle w:val="ProductList-OfferingBody"/>
              <w:keepNext/>
              <w:jc w:val="center"/>
            </w:pPr>
            <w:r>
              <w:t>10 %</w:t>
            </w:r>
          </w:p>
        </w:tc>
      </w:tr>
      <w:tr w:rsidR="00781D31" w:rsidRPr="002928A2"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bookmarkStart w:id="175" w:name="_Toc505679756"/>
    <w:bookmarkStart w:id="176" w:name="_Toc457821550"/>
    <w:bookmarkStart w:id="177" w:name="_Toc489270886"/>
    <w:bookmarkStart w:id="178" w:name="_Toc487138047"/>
    <w:p w14:paraId="3317807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79" w:name="_Toc25746697"/>
      <w:r>
        <w:t>Event Grid</w:t>
      </w:r>
      <w:bookmarkEnd w:id="175"/>
      <w:bookmarkEnd w:id="179"/>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2928A2" w:rsidRDefault="00475864" w:rsidP="00C55C15">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27A75029"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80" w:name="_Toc25746698"/>
      <w:r>
        <w:t>ExpressRoute</w:t>
      </w:r>
      <w:bookmarkEnd w:id="176"/>
      <w:bookmarkEnd w:id="177"/>
      <w:bookmarkEnd w:id="178"/>
      <w:bookmarkEnd w:id="180"/>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2928A2" w:rsidRDefault="00475864"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lastRenderedPageBreak/>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bookmarkStart w:id="181" w:name="_Toc516223852"/>
    <w:p w14:paraId="58BAF7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82" w:name="_Toc25746699"/>
      <w:r>
        <w:t>Application de Fonction sur le Plan de Consommation</w:t>
      </w:r>
      <w:bookmarkEnd w:id="181"/>
      <w:bookmarkEnd w:id="182"/>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2928A2" w:rsidRDefault="00475864"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A40F90">
            <w:pPr>
              <w:pStyle w:val="ProductList-OfferingBody"/>
              <w:jc w:val="center"/>
            </w:pPr>
            <w:r>
              <w:t>&lt; 99,95 %</w:t>
            </w:r>
          </w:p>
        </w:tc>
        <w:tc>
          <w:tcPr>
            <w:tcW w:w="5400" w:type="dxa"/>
          </w:tcPr>
          <w:p w14:paraId="2FE25A1E" w14:textId="77777777" w:rsidR="006360A6" w:rsidRPr="0076238C" w:rsidRDefault="006360A6" w:rsidP="00A40F90">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A40F90">
            <w:pPr>
              <w:pStyle w:val="ProductList-OfferingBody"/>
              <w:jc w:val="center"/>
            </w:pPr>
            <w:r>
              <w:t>&lt; 99 %</w:t>
            </w:r>
          </w:p>
        </w:tc>
        <w:tc>
          <w:tcPr>
            <w:tcW w:w="5400" w:type="dxa"/>
          </w:tcPr>
          <w:p w14:paraId="1F6D7780" w14:textId="77777777" w:rsidR="006360A6" w:rsidRPr="0076238C" w:rsidRDefault="006360A6" w:rsidP="00A40F90">
            <w:pPr>
              <w:pStyle w:val="ProductList-OfferingBody"/>
              <w:jc w:val="center"/>
            </w:pPr>
            <w:r>
              <w:t>25%</w:t>
            </w:r>
          </w:p>
        </w:tc>
      </w:tr>
    </w:tbl>
    <w:bookmarkStart w:id="183" w:name="_Toc516223853"/>
    <w:p w14:paraId="17C73B4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84" w:name="_Toc25746700"/>
      <w:r>
        <w:t>Application de Fonction sur le Plan de Service</w:t>
      </w:r>
      <w:bookmarkEnd w:id="183"/>
      <w:bookmarkEnd w:id="184"/>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2928A2" w:rsidRDefault="00475864"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A40F90">
            <w:pPr>
              <w:pStyle w:val="ProductList-OfferingBody"/>
              <w:jc w:val="center"/>
            </w:pPr>
            <w:r>
              <w:t>&lt; 99,95 %</w:t>
            </w:r>
          </w:p>
        </w:tc>
        <w:tc>
          <w:tcPr>
            <w:tcW w:w="5400" w:type="dxa"/>
          </w:tcPr>
          <w:p w14:paraId="40229883" w14:textId="77777777" w:rsidR="006360A6" w:rsidRPr="0076238C" w:rsidRDefault="006360A6" w:rsidP="00A40F90">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A40F90">
            <w:pPr>
              <w:pStyle w:val="ProductList-OfferingBody"/>
              <w:jc w:val="center"/>
            </w:pPr>
            <w:r>
              <w:t>&lt; 99 %</w:t>
            </w:r>
          </w:p>
        </w:tc>
        <w:tc>
          <w:tcPr>
            <w:tcW w:w="5400" w:type="dxa"/>
          </w:tcPr>
          <w:p w14:paraId="150360B8" w14:textId="77777777" w:rsidR="006360A6" w:rsidRPr="0076238C" w:rsidRDefault="006360A6" w:rsidP="00A40F90">
            <w:pPr>
              <w:pStyle w:val="ProductList-OfferingBody"/>
              <w:jc w:val="center"/>
            </w:pPr>
            <w:r>
              <w:t>25 %</w:t>
            </w:r>
          </w:p>
        </w:tc>
      </w:tr>
    </w:tbl>
    <w:p w14:paraId="513A2BB9"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992B6D">
      <w:pPr>
        <w:pStyle w:val="ProductList-Offering2Heading"/>
        <w:pageBreakBefore/>
        <w:tabs>
          <w:tab w:val="clear" w:pos="360"/>
          <w:tab w:val="clear" w:pos="720"/>
          <w:tab w:val="clear" w:pos="1080"/>
        </w:tabs>
        <w:outlineLvl w:val="2"/>
        <w:rPr>
          <w:lang w:eastAsia="en-US" w:bidi="ar-SA"/>
        </w:rPr>
      </w:pPr>
      <w:bookmarkStart w:id="185" w:name="_Toc25746701"/>
      <w:r w:rsidRPr="008E64FF">
        <w:rPr>
          <w:lang w:eastAsia="en-US" w:bidi="ar-SA"/>
        </w:rPr>
        <w:lastRenderedPageBreak/>
        <w:t>HDInsight</w:t>
      </w:r>
      <w:bookmarkEnd w:id="185"/>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2928A2" w:rsidRDefault="0047586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bookmarkStart w:id="186" w:name="_Toc441215731"/>
    <w:bookmarkStart w:id="187" w:name="_Toc421206043"/>
    <w:bookmarkStart w:id="188" w:name="_Toc412532194"/>
    <w:p w14:paraId="3FAC27A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89" w:name="_Toc25746702"/>
      <w:r>
        <w:t>HockeyApp</w:t>
      </w:r>
      <w:bookmarkEnd w:id="186"/>
      <w:bookmarkEnd w:id="189"/>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475864"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bookmarkStart w:id="190" w:name="_Toc526859685"/>
    <w:bookmarkStart w:id="191" w:name="_Toc450912776"/>
    <w:bookmarkStart w:id="192" w:name="IoTHub"/>
    <w:p w14:paraId="4A793A0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A40F90">
      <w:pPr>
        <w:pStyle w:val="ProductList-Offering2Heading"/>
        <w:keepNext/>
        <w:tabs>
          <w:tab w:val="clear" w:pos="360"/>
          <w:tab w:val="clear" w:pos="720"/>
          <w:tab w:val="clear" w:pos="1080"/>
        </w:tabs>
        <w:outlineLvl w:val="2"/>
      </w:pPr>
      <w:bookmarkStart w:id="193" w:name="_Toc25746703"/>
      <w:r>
        <w:t>IoT Central</w:t>
      </w:r>
      <w:bookmarkEnd w:id="190"/>
      <w:bookmarkEnd w:id="193"/>
    </w:p>
    <w:p w14:paraId="6976D19F" w14:textId="77777777" w:rsidR="00A40F90" w:rsidRPr="002B713E" w:rsidRDefault="00A40F90" w:rsidP="00A40F90">
      <w:pPr>
        <w:pStyle w:val="ProductList-Body"/>
        <w:keepNext/>
      </w:pPr>
      <w:r>
        <w:rPr>
          <w:b/>
          <w:color w:val="00188F"/>
        </w:rPr>
        <w:t>Définitions supplémentaires</w:t>
      </w:r>
      <w:r>
        <w:t> </w:t>
      </w:r>
      <w:r w:rsidRPr="00FA17F6">
        <w:rPr>
          <w:b/>
        </w:rPr>
        <w:t>:</w:t>
      </w:r>
    </w:p>
    <w:p w14:paraId="0E54AB8A" w14:textId="77777777" w:rsidR="00A40F90" w:rsidRPr="002B713E" w:rsidRDefault="00A40F90" w:rsidP="00A40F90">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A40F90">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A40F90">
      <w:pPr>
        <w:pStyle w:val="ProductList-Body"/>
      </w:pPr>
      <w:r>
        <w:lastRenderedPageBreak/>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A40F90">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A40F90">
      <w:pPr>
        <w:pStyle w:val="ProductList-Body"/>
      </w:pPr>
    </w:p>
    <w:p w14:paraId="5C2B3E6E" w14:textId="77777777" w:rsidR="00A40F90" w:rsidRPr="002B713E" w:rsidRDefault="00A40F90" w:rsidP="00A40F90">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A40F90">
      <w:pPr>
        <w:pStyle w:val="ProductList-Body"/>
      </w:pPr>
    </w:p>
    <w:p w14:paraId="5D6D0AA9" w14:textId="77777777" w:rsidR="00A40F90" w:rsidRPr="002B713E" w:rsidRDefault="00A40F90" w:rsidP="00A40F90">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A40F90">
      <w:pPr>
        <w:pStyle w:val="ProductList-Body"/>
      </w:pPr>
    </w:p>
    <w:p w14:paraId="7361DC50" w14:textId="77777777" w:rsidR="00A40F90" w:rsidRPr="002928A2" w:rsidRDefault="00475864"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A40F90">
      <w:pPr>
        <w:pStyle w:val="ProductList-Body"/>
        <w:keepNext/>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A40F90">
            <w:pPr>
              <w:pStyle w:val="ProductList-OfferingBody"/>
              <w:jc w:val="center"/>
            </w:pPr>
            <w:r>
              <w:t>&lt; 99,9 %</w:t>
            </w:r>
          </w:p>
        </w:tc>
        <w:tc>
          <w:tcPr>
            <w:tcW w:w="5400" w:type="dxa"/>
          </w:tcPr>
          <w:p w14:paraId="05D5F32E" w14:textId="77777777" w:rsidR="00A40F90" w:rsidRPr="005A3C16" w:rsidRDefault="00A40F90" w:rsidP="00A40F90">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A40F90">
            <w:pPr>
              <w:pStyle w:val="ProductList-OfferingBody"/>
              <w:jc w:val="center"/>
            </w:pPr>
            <w:r>
              <w:t>&lt; 99 %</w:t>
            </w:r>
          </w:p>
        </w:tc>
        <w:tc>
          <w:tcPr>
            <w:tcW w:w="5400" w:type="dxa"/>
          </w:tcPr>
          <w:p w14:paraId="7008282E" w14:textId="77777777" w:rsidR="00A40F90" w:rsidRPr="005A3C16" w:rsidRDefault="00A40F90" w:rsidP="00A40F90">
            <w:pPr>
              <w:pStyle w:val="ProductList-OfferingBody"/>
              <w:jc w:val="center"/>
            </w:pPr>
            <w:r>
              <w:t>25 %</w:t>
            </w:r>
          </w:p>
        </w:tc>
      </w:tr>
    </w:tbl>
    <w:p w14:paraId="27B3357F"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980B3D">
      <w:pPr>
        <w:pStyle w:val="ProductList-Offering2Heading"/>
        <w:keepNext/>
        <w:tabs>
          <w:tab w:val="clear" w:pos="360"/>
          <w:tab w:val="clear" w:pos="720"/>
          <w:tab w:val="clear" w:pos="1080"/>
        </w:tabs>
        <w:outlineLvl w:val="2"/>
      </w:pPr>
      <w:bookmarkStart w:id="194" w:name="_Toc25746704"/>
      <w:r>
        <w:t xml:space="preserve">IoT </w:t>
      </w:r>
      <w:r w:rsidR="007546C2">
        <w:t>h</w:t>
      </w:r>
      <w:r>
        <w:t>ub</w:t>
      </w:r>
      <w:bookmarkEnd w:id="191"/>
      <w:bookmarkEnd w:id="194"/>
    </w:p>
    <w:bookmarkEnd w:id="192"/>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2928A2" w:rsidRDefault="00475864"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211809A7"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95" w:name="_Toc25746705"/>
      <w:r>
        <w:t>Key Vault</w:t>
      </w:r>
      <w:bookmarkEnd w:id="187"/>
      <w:bookmarkEnd w:id="195"/>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lastRenderedPageBreak/>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2928A2" w:rsidRDefault="00475864" w:rsidP="00013391">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bookmarkStart w:id="196" w:name="_Toc457821555"/>
    <w:bookmarkStart w:id="197" w:name="_Toc526859688"/>
    <w:bookmarkStart w:id="198" w:name="_Toc527039337"/>
    <w:bookmarkStart w:id="199" w:name="LogAnalytics"/>
    <w:p w14:paraId="32370E3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A40F90">
      <w:pPr>
        <w:pStyle w:val="ProductList-Offering2Heading"/>
        <w:keepNext/>
        <w:tabs>
          <w:tab w:val="clear" w:pos="360"/>
          <w:tab w:val="clear" w:pos="720"/>
          <w:tab w:val="clear" w:pos="1080"/>
        </w:tabs>
        <w:outlineLvl w:val="2"/>
      </w:pPr>
      <w:bookmarkStart w:id="200" w:name="_Toc25746706"/>
      <w:r>
        <w:t>Log Analytics</w:t>
      </w:r>
      <w:bookmarkEnd w:id="196"/>
      <w:bookmarkEnd w:id="197"/>
      <w:r>
        <w:t xml:space="preserve"> (SLA Disponibilité des Requêtes)</w:t>
      </w:r>
      <w:bookmarkEnd w:id="198"/>
      <w:bookmarkEnd w:id="200"/>
    </w:p>
    <w:bookmarkEnd w:id="199"/>
    <w:p w14:paraId="1A4B485D" w14:textId="77777777" w:rsidR="00A40F90" w:rsidRPr="002B713E" w:rsidRDefault="00A40F90" w:rsidP="00A40F90">
      <w:pPr>
        <w:pStyle w:val="ProductList-Body"/>
        <w:keepNext/>
      </w:pPr>
      <w:r>
        <w:rPr>
          <w:b/>
          <w:color w:val="00188F"/>
        </w:rPr>
        <w:t>Définitions supplémentaires</w:t>
      </w:r>
      <w:r>
        <w:t> </w:t>
      </w:r>
      <w:r w:rsidRPr="006D2AFF">
        <w:rPr>
          <w:b/>
        </w:rPr>
        <w:t>:</w:t>
      </w:r>
    </w:p>
    <w:p w14:paraId="5523E256" w14:textId="77777777" w:rsidR="00A40F90" w:rsidRPr="002B713E" w:rsidRDefault="00A40F90" w:rsidP="00A40F90">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A40F90">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A40F90">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A40F90">
      <w:pPr>
        <w:pStyle w:val="ProductList-Body"/>
      </w:pPr>
      <w:r>
        <w:t xml:space="preserve"> </w:t>
      </w:r>
    </w:p>
    <w:p w14:paraId="54B8530C" w14:textId="77777777" w:rsidR="00A40F90" w:rsidRPr="002B713E" w:rsidRDefault="00A40F90" w:rsidP="00A40F90">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A40F90">
      <w:pPr>
        <w:pStyle w:val="ProductList-Body"/>
      </w:pPr>
    </w:p>
    <w:p w14:paraId="243E815D" w14:textId="77777777" w:rsidR="00A40F90" w:rsidRPr="002928A2" w:rsidRDefault="00475864"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A40F90">
      <w:pPr>
        <w:pStyle w:val="ProductList-ClauseHeading"/>
        <w:keepNext/>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A40F90">
            <w:pPr>
              <w:pStyle w:val="ProductList-OfferingBody"/>
              <w:jc w:val="center"/>
            </w:pPr>
            <w:r>
              <w:t>&lt; 99,9 %</w:t>
            </w:r>
          </w:p>
        </w:tc>
        <w:tc>
          <w:tcPr>
            <w:tcW w:w="5400" w:type="dxa"/>
          </w:tcPr>
          <w:p w14:paraId="646F065C" w14:textId="77777777" w:rsidR="00A40F90" w:rsidRPr="00EF7CF9" w:rsidRDefault="00A40F90" w:rsidP="00A40F90">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A40F90">
            <w:pPr>
              <w:pStyle w:val="ProductList-OfferingBody"/>
              <w:jc w:val="center"/>
            </w:pPr>
            <w:r>
              <w:t>&lt; 99 %</w:t>
            </w:r>
          </w:p>
        </w:tc>
        <w:tc>
          <w:tcPr>
            <w:tcW w:w="5400" w:type="dxa"/>
          </w:tcPr>
          <w:p w14:paraId="45652E77" w14:textId="77777777" w:rsidR="00A40F90" w:rsidRPr="00EF7CF9" w:rsidRDefault="00A40F90" w:rsidP="00A40F90">
            <w:pPr>
              <w:pStyle w:val="ProductList-OfferingBody"/>
              <w:jc w:val="center"/>
            </w:pPr>
            <w:r>
              <w:t>25 %</w:t>
            </w:r>
          </w:p>
        </w:tc>
      </w:tr>
    </w:tbl>
    <w:p w14:paraId="0528C61F"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201" w:name="_Toc25746707"/>
      <w:r>
        <w:t>Applications Logiques</w:t>
      </w:r>
      <w:bookmarkEnd w:id="201"/>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DF28CE">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2928A2" w:rsidRDefault="00475864" w:rsidP="00DF28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bookmarkStart w:id="202" w:name="_Toc457821557"/>
    <w:bookmarkStart w:id="203" w:name="_Toc503177162"/>
    <w:bookmarkStart w:id="204" w:name="MachineLearningStudio_BES"/>
    <w:bookmarkEnd w:id="188"/>
    <w:p w14:paraId="084555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205" w:name="_Toc25746708"/>
      <w:r>
        <w:t xml:space="preserve">Azure </w:t>
      </w:r>
      <w:bookmarkStart w:id="206" w:name="_Toc500147782"/>
      <w:r>
        <w:t>Machine Learning Studio – Service BES (Batch Execution Service) et Service API de Gestion</w:t>
      </w:r>
      <w:bookmarkEnd w:id="202"/>
      <w:bookmarkEnd w:id="203"/>
      <w:bookmarkEnd w:id="205"/>
      <w:bookmarkEnd w:id="206"/>
    </w:p>
    <w:bookmarkEnd w:id="204"/>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2928A2" w:rsidRDefault="00475864"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7" w:name="_Toc457821558"/>
    <w:bookmarkStart w:id="208" w:name="_Toc503177163"/>
    <w:bookmarkStart w:id="209" w:name="MachineLearningStudio_RRS"/>
    <w:p w14:paraId="66FF181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220659">
      <w:pPr>
        <w:pStyle w:val="ProductList-Offering2Heading"/>
        <w:tabs>
          <w:tab w:val="clear" w:pos="360"/>
          <w:tab w:val="clear" w:pos="720"/>
          <w:tab w:val="clear" w:pos="1080"/>
        </w:tabs>
        <w:outlineLvl w:val="2"/>
      </w:pPr>
      <w:bookmarkStart w:id="210" w:name="_Toc25746709"/>
      <w:r w:rsidRPr="00335E32">
        <w:t xml:space="preserve">Azure </w:t>
      </w:r>
      <w:bookmarkStart w:id="211" w:name="_Toc500147783"/>
      <w:r w:rsidRPr="00335E32">
        <w:t>Machine Learning Studio – Service RSS (Request Response Service)</w:t>
      </w:r>
      <w:bookmarkEnd w:id="207"/>
      <w:bookmarkEnd w:id="208"/>
      <w:bookmarkEnd w:id="210"/>
      <w:bookmarkEnd w:id="211"/>
    </w:p>
    <w:bookmarkEnd w:id="209"/>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2928A2" w:rsidRDefault="00475864"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2" w:name="_Toc425256432"/>
    <w:p w14:paraId="634B98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992B6D">
      <w:pPr>
        <w:pStyle w:val="ProductList-Offering2Heading"/>
        <w:pageBreakBefore/>
        <w:tabs>
          <w:tab w:val="clear" w:pos="360"/>
          <w:tab w:val="clear" w:pos="720"/>
          <w:tab w:val="clear" w:pos="1080"/>
        </w:tabs>
        <w:outlineLvl w:val="2"/>
      </w:pPr>
      <w:bookmarkStart w:id="213" w:name="_Toc25746710"/>
      <w:r>
        <w:lastRenderedPageBreak/>
        <w:t>Media Services – Service Content Protection</w:t>
      </w:r>
      <w:bookmarkEnd w:id="212"/>
      <w:bookmarkEnd w:id="213"/>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2928A2" w:rsidRDefault="00475864" w:rsidP="002928A2">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6615DE73"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214" w:name="_Toc25746711"/>
      <w:r w:rsidRPr="001C6467">
        <w:rPr>
          <w:szCs w:val="28"/>
          <w:lang w:eastAsia="en-US" w:bidi="ar-SA"/>
        </w:rPr>
        <w:t>Media Services – Service d’Encodage</w:t>
      </w:r>
      <w:bookmarkEnd w:id="214"/>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2928A2" w:rsidRDefault="00475864"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bookmarkStart w:id="215" w:name="_Toc457821561"/>
    <w:bookmarkStart w:id="216" w:name="_Toc521676958"/>
    <w:bookmarkStart w:id="217" w:name="_Toc517961763"/>
    <w:p w14:paraId="7003E1E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731EDD">
      <w:pPr>
        <w:pStyle w:val="ProductList-Offering2Heading"/>
        <w:keepNext/>
        <w:tabs>
          <w:tab w:val="clear" w:pos="360"/>
          <w:tab w:val="clear" w:pos="720"/>
          <w:tab w:val="clear" w:pos="1080"/>
        </w:tabs>
        <w:outlineLvl w:val="2"/>
        <w:rPr>
          <w:lang w:val="es-ES_tradnl"/>
        </w:rPr>
      </w:pPr>
      <w:bookmarkStart w:id="218" w:name="_Toc25746712"/>
      <w:r w:rsidRPr="009C340C">
        <w:rPr>
          <w:lang w:val="es-ES_tradnl"/>
        </w:rPr>
        <w:t>Media Services – Service Media Indexer</w:t>
      </w:r>
      <w:bookmarkEnd w:id="215"/>
      <w:bookmarkEnd w:id="216"/>
      <w:bookmarkEnd w:id="217"/>
      <w:bookmarkEnd w:id="218"/>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lastRenderedPageBreak/>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2928A2" w:rsidRDefault="00475864"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bookmarkStart w:id="219" w:name="_Toc413757510"/>
    <w:p w14:paraId="5FFE4BF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2928A2">
      <w:pPr>
        <w:pStyle w:val="ProductList-Offering2Heading"/>
        <w:keepNext/>
        <w:tabs>
          <w:tab w:val="clear" w:pos="360"/>
        </w:tabs>
        <w:outlineLvl w:val="2"/>
        <w:rPr>
          <w:szCs w:val="28"/>
        </w:rPr>
      </w:pPr>
      <w:bookmarkStart w:id="220" w:name="_Toc25746713"/>
      <w:r w:rsidRPr="001C6467">
        <w:rPr>
          <w:szCs w:val="28"/>
        </w:rPr>
        <w:t>Media Services – Canaux en Direct</w:t>
      </w:r>
      <w:bookmarkEnd w:id="219"/>
      <w:bookmarkEnd w:id="220"/>
    </w:p>
    <w:p w14:paraId="7AE27FEE" w14:textId="77777777" w:rsidR="003354E3" w:rsidRDefault="003354E3" w:rsidP="003354E3">
      <w:pPr>
        <w:pStyle w:val="ProductList-Body"/>
      </w:pPr>
      <w:bookmarkStart w:id="221" w:name="Définitions"/>
      <w:r>
        <w:rPr>
          <w:b/>
          <w:color w:val="00188F"/>
        </w:rPr>
        <w:t xml:space="preserve">Définitions </w:t>
      </w:r>
      <w:bookmarkEnd w:id="221"/>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475864"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39B5E022"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8E5959">
      <w:pPr>
        <w:pStyle w:val="ProductList-Offering2Heading"/>
        <w:tabs>
          <w:tab w:val="clear" w:pos="360"/>
          <w:tab w:val="clear" w:pos="720"/>
          <w:tab w:val="clear" w:pos="1080"/>
        </w:tabs>
        <w:outlineLvl w:val="2"/>
        <w:rPr>
          <w:szCs w:val="28"/>
          <w:lang w:eastAsia="en-US" w:bidi="ar-SA"/>
        </w:rPr>
      </w:pPr>
      <w:bookmarkStart w:id="222" w:name="_Toc25746714"/>
      <w:r w:rsidRPr="009C340C">
        <w:rPr>
          <w:szCs w:val="28"/>
          <w:lang w:eastAsia="en-US" w:bidi="ar-SA"/>
        </w:rPr>
        <w:t>Media Services – Service de Diffusion</w:t>
      </w:r>
      <w:bookmarkEnd w:id="222"/>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lastRenderedPageBreak/>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2928A2" w:rsidRDefault="00475864"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11644D2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A40F90">
      <w:pPr>
        <w:pStyle w:val="ProductList-Offering2Heading"/>
        <w:keepNext/>
        <w:tabs>
          <w:tab w:val="clear" w:pos="360"/>
          <w:tab w:val="clear" w:pos="720"/>
          <w:tab w:val="clear" w:pos="1080"/>
        </w:tabs>
        <w:outlineLvl w:val="2"/>
        <w:rPr>
          <w:lang w:val="es-ES_tradnl"/>
        </w:rPr>
      </w:pPr>
      <w:bookmarkStart w:id="229" w:name="_Toc25746715"/>
      <w:r w:rsidRPr="009C340C">
        <w:rPr>
          <w:lang w:val="es-ES_tradnl"/>
        </w:rPr>
        <w:t>Media Services – Video Indexer Service</w:t>
      </w:r>
      <w:bookmarkEnd w:id="223"/>
      <w:bookmarkEnd w:id="229"/>
    </w:p>
    <w:p w14:paraId="19AE7731" w14:textId="77777777" w:rsidR="00A40F90" w:rsidRPr="002B713E" w:rsidRDefault="00A40F90" w:rsidP="00A40F90">
      <w:pPr>
        <w:pStyle w:val="ProductList-Body"/>
      </w:pPr>
      <w:r>
        <w:rPr>
          <w:b/>
          <w:color w:val="00188F"/>
        </w:rPr>
        <w:t>Définitions supplémentaires</w:t>
      </w:r>
      <w:r>
        <w:t> </w:t>
      </w:r>
      <w:r w:rsidRPr="00195114">
        <w:rPr>
          <w:b/>
        </w:rPr>
        <w:t>:</w:t>
      </w:r>
    </w:p>
    <w:p w14:paraId="551F6299" w14:textId="77777777" w:rsidR="00A40F90" w:rsidRPr="002B713E" w:rsidRDefault="00A40F90" w:rsidP="00A40F90">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A40F90">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A40F90">
      <w:pPr>
        <w:pStyle w:val="ProductList-Body"/>
      </w:pPr>
    </w:p>
    <w:p w14:paraId="0DE47FA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A40F90">
      <w:pPr>
        <w:pStyle w:val="ProductList-Body"/>
      </w:pPr>
    </w:p>
    <w:p w14:paraId="552CF35E" w14:textId="77777777" w:rsidR="00A40F90" w:rsidRPr="002928A2" w:rsidRDefault="00475864"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A40F90">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A40F90">
            <w:pPr>
              <w:pStyle w:val="ProductList-OfferingBody"/>
              <w:jc w:val="center"/>
            </w:pPr>
            <w:r>
              <w:t>&lt; 99,9 %</w:t>
            </w:r>
          </w:p>
        </w:tc>
        <w:tc>
          <w:tcPr>
            <w:tcW w:w="5400" w:type="dxa"/>
          </w:tcPr>
          <w:p w14:paraId="7159628A" w14:textId="77777777" w:rsidR="00A40F90" w:rsidRPr="005A3C16" w:rsidRDefault="00A40F90" w:rsidP="00A40F90">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A40F90">
            <w:pPr>
              <w:pStyle w:val="ProductList-OfferingBody"/>
              <w:jc w:val="center"/>
            </w:pPr>
            <w:r>
              <w:t>&lt; 99 %</w:t>
            </w:r>
          </w:p>
        </w:tc>
        <w:tc>
          <w:tcPr>
            <w:tcW w:w="5400" w:type="dxa"/>
          </w:tcPr>
          <w:p w14:paraId="75B21F18" w14:textId="77777777" w:rsidR="00A40F90" w:rsidRPr="005A3C16" w:rsidRDefault="00A40F90" w:rsidP="00A40F90">
            <w:pPr>
              <w:pStyle w:val="ProductList-OfferingBody"/>
              <w:jc w:val="center"/>
            </w:pPr>
            <w:r>
              <w:t>25 %</w:t>
            </w:r>
          </w:p>
        </w:tc>
      </w:tr>
    </w:tbl>
    <w:p w14:paraId="4FF15C23"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7B4942">
      <w:pPr>
        <w:pStyle w:val="ProductList-Offering2Heading"/>
        <w:tabs>
          <w:tab w:val="clear" w:pos="360"/>
          <w:tab w:val="clear" w:pos="720"/>
          <w:tab w:val="clear" w:pos="1080"/>
        </w:tabs>
        <w:spacing w:before="0" w:after="0"/>
        <w:outlineLvl w:val="2"/>
      </w:pPr>
      <w:bookmarkStart w:id="230" w:name="_Toc25746716"/>
      <w:r w:rsidRPr="0037096E">
        <w:t>Microsoft Cognitive Services</w:t>
      </w:r>
      <w:bookmarkEnd w:id="224"/>
      <w:bookmarkEnd w:id="225"/>
      <w:bookmarkEnd w:id="226"/>
      <w:bookmarkEnd w:id="230"/>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852618">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852618">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852618">
            <w:pPr>
              <w:pStyle w:val="ProductList-OfferingBody"/>
              <w:jc w:val="center"/>
            </w:pPr>
            <w:r w:rsidRPr="0037096E">
              <w:t>&lt; 99,9 %</w:t>
            </w:r>
          </w:p>
        </w:tc>
        <w:tc>
          <w:tcPr>
            <w:tcW w:w="5400" w:type="dxa"/>
          </w:tcPr>
          <w:p w14:paraId="1CCC8176" w14:textId="77777777" w:rsidR="007B4942" w:rsidRPr="0037096E" w:rsidRDefault="007B4942" w:rsidP="00852618">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852618">
            <w:pPr>
              <w:pStyle w:val="ProductList-OfferingBody"/>
              <w:jc w:val="center"/>
            </w:pPr>
            <w:r w:rsidRPr="0037096E">
              <w:lastRenderedPageBreak/>
              <w:t>&lt; 99 %</w:t>
            </w:r>
          </w:p>
        </w:tc>
        <w:tc>
          <w:tcPr>
            <w:tcW w:w="5400" w:type="dxa"/>
          </w:tcPr>
          <w:p w14:paraId="3E2BE05B" w14:textId="77777777" w:rsidR="007B4942" w:rsidRPr="0037096E" w:rsidRDefault="007B4942" w:rsidP="00852618">
            <w:pPr>
              <w:pStyle w:val="ProductList-OfferingBody"/>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bookmarkStart w:id="231" w:name="_Toc500147790"/>
    <w:bookmarkEnd w:id="227"/>
    <w:bookmarkEnd w:id="228"/>
    <w:p w14:paraId="79688BA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32" w:name="_Toc25746717"/>
      <w:r>
        <w:t>Microsoft Genomics</w:t>
      </w:r>
      <w:bookmarkEnd w:id="231"/>
      <w:bookmarkEnd w:id="232"/>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362FF7">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362FF7">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2928A2">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2928A2">
      <w:pPr>
        <w:spacing w:after="0" w:line="240" w:lineRule="auto"/>
        <w:rPr>
          <w:sz w:val="18"/>
          <w:szCs w:val="18"/>
        </w:rPr>
      </w:pPr>
    </w:p>
    <w:p w14:paraId="0C68D9D2" w14:textId="77777777" w:rsidR="00362FF7" w:rsidRPr="002928A2" w:rsidRDefault="00475864"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3" w:name="_Toc500147791"/>
    <w:p w14:paraId="3AC320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34" w:name="_Toc25746718"/>
      <w:r>
        <w:t>Mobile Engagement</w:t>
      </w:r>
      <w:bookmarkEnd w:id="233"/>
      <w:bookmarkEnd w:id="234"/>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6CDC2F61" w:rsidR="00362FF7" w:rsidRDefault="00362FF7"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2928A2">
      <w:pPr>
        <w:pStyle w:val="ProductList-Body"/>
      </w:pP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bookmarkStart w:id="235" w:name="_Toc457821566"/>
    <w:bookmarkStart w:id="236" w:name="_Toc500147792"/>
    <w:p w14:paraId="6AD4C20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37" w:name="_Toc25746719"/>
      <w:r>
        <w:lastRenderedPageBreak/>
        <w:t>M</w:t>
      </w:r>
      <w:bookmarkStart w:id="238" w:name="ServiceSpecificTerms_Azure_MobileServ"/>
      <w:bookmarkEnd w:id="238"/>
      <w:r>
        <w:t>obile Services</w:t>
      </w:r>
      <w:bookmarkEnd w:id="235"/>
      <w:bookmarkEnd w:id="236"/>
      <w:bookmarkEnd w:id="237"/>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2928A2" w:rsidRDefault="00475864" w:rsidP="00362F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9" w:name="_Toc500147793"/>
    <w:bookmarkStart w:id="240" w:name="NetworkWatcher"/>
    <w:p w14:paraId="7F25658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41" w:name="_Toc25746720"/>
      <w:r>
        <w:t>Network Watcher</w:t>
      </w:r>
      <w:bookmarkEnd w:id="239"/>
      <w:bookmarkEnd w:id="241"/>
    </w:p>
    <w:bookmarkEnd w:id="240"/>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1587345C" w:rsidR="00362FF7" w:rsidRDefault="00362FF7" w:rsidP="002928A2">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2928A2">
      <w:pPr>
        <w:spacing w:after="0" w:line="240" w:lineRule="auto"/>
        <w:rPr>
          <w:sz w:val="18"/>
          <w:szCs w:val="18"/>
        </w:rPr>
      </w:pPr>
    </w:p>
    <w:p w14:paraId="000CAD45" w14:textId="77777777" w:rsidR="00362FF7" w:rsidRPr="002928A2" w:rsidRDefault="00475864"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600023">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600023">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600023">
            <w:pPr>
              <w:pStyle w:val="ProductList-OfferingBody"/>
              <w:jc w:val="center"/>
            </w:pPr>
            <w:r w:rsidRPr="00852618">
              <w:t>&lt; 99,9 %</w:t>
            </w:r>
          </w:p>
        </w:tc>
        <w:tc>
          <w:tcPr>
            <w:tcW w:w="2487" w:type="pct"/>
          </w:tcPr>
          <w:p w14:paraId="5645BCDB" w14:textId="77777777" w:rsidR="00362FF7" w:rsidRPr="00852618" w:rsidRDefault="00362FF7" w:rsidP="00600023">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600023">
            <w:pPr>
              <w:pStyle w:val="ProductList-OfferingBody"/>
              <w:jc w:val="center"/>
            </w:pPr>
            <w:r w:rsidRPr="00852618">
              <w:t>&lt; 99 %</w:t>
            </w:r>
          </w:p>
        </w:tc>
        <w:tc>
          <w:tcPr>
            <w:tcW w:w="2487" w:type="pct"/>
          </w:tcPr>
          <w:p w14:paraId="66C951B9" w14:textId="77777777" w:rsidR="00362FF7" w:rsidRPr="00852618" w:rsidRDefault="00362FF7" w:rsidP="00600023">
            <w:pPr>
              <w:pStyle w:val="ProductList-OfferingBody"/>
              <w:jc w:val="center"/>
            </w:pPr>
            <w:r w:rsidRPr="00852618">
              <w:t>25 %</w:t>
            </w:r>
          </w:p>
        </w:tc>
      </w:tr>
    </w:tbl>
    <w:p w14:paraId="58B3FE92"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42" w:name="_Toc25746721"/>
      <w:r w:rsidRPr="001C6467">
        <w:rPr>
          <w:szCs w:val="28"/>
          <w:lang w:val="en-US" w:eastAsia="en-US" w:bidi="ar-SA"/>
        </w:rPr>
        <w:t>RemoteApp</w:t>
      </w:r>
      <w:bookmarkEnd w:id="242"/>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lastRenderedPageBreak/>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2928A2" w:rsidRDefault="0047586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3" w:name="_Toc510793702"/>
    <w:bookmarkStart w:id="244" w:name="_Toc506981072"/>
    <w:p w14:paraId="0C3A18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45" w:name="_Toc25746722"/>
      <w:r>
        <w:t>SAP HANA on Azure</w:t>
      </w:r>
      <w:bookmarkEnd w:id="243"/>
      <w:bookmarkEnd w:id="244"/>
      <w:bookmarkEnd w:id="245"/>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582E8C">
      <w:pPr>
        <w:spacing w:after="0" w:line="252" w:lineRule="auto"/>
        <w:rPr>
          <w:sz w:val="18"/>
          <w:szCs w:val="18"/>
        </w:rPr>
      </w:pPr>
    </w:p>
    <w:p w14:paraId="5CC2590A" w14:textId="77777777" w:rsidR="00582E8C" w:rsidRPr="002928A2" w:rsidRDefault="00582E8C" w:rsidP="006360A6">
      <w:pPr>
        <w:keepNext/>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582E8C">
      <w:pPr>
        <w:spacing w:after="0" w:line="252" w:lineRule="auto"/>
        <w:ind w:left="720"/>
        <w:rPr>
          <w:sz w:val="18"/>
          <w:szCs w:val="18"/>
        </w:rPr>
      </w:pPr>
    </w:p>
    <w:p w14:paraId="7D4D0E7F"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2928A2" w:rsidRDefault="00475864"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992B6D">
      <w:pPr>
        <w:pStyle w:val="ProductList-Body"/>
        <w:keepNext/>
        <w:ind w:left="720"/>
      </w:pPr>
      <w:r>
        <w:rPr>
          <w:b/>
          <w:color w:val="00188F"/>
        </w:rPr>
        <w:lastRenderedPageBreak/>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A40F90">
            <w:pPr>
              <w:pStyle w:val="ProductList-OfferingBody"/>
              <w:jc w:val="center"/>
            </w:pPr>
            <w:r>
              <w:t>&lt; 99,99 %</w:t>
            </w:r>
          </w:p>
        </w:tc>
        <w:tc>
          <w:tcPr>
            <w:tcW w:w="5103" w:type="dxa"/>
          </w:tcPr>
          <w:p w14:paraId="14779499" w14:textId="77777777" w:rsidR="00582E8C" w:rsidRPr="0076238C" w:rsidRDefault="00582E8C" w:rsidP="00A40F90">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A40F90">
            <w:pPr>
              <w:pStyle w:val="ProductList-OfferingBody"/>
              <w:jc w:val="center"/>
            </w:pPr>
            <w:r>
              <w:t>&lt; 99,9 %</w:t>
            </w:r>
          </w:p>
        </w:tc>
        <w:tc>
          <w:tcPr>
            <w:tcW w:w="5103" w:type="dxa"/>
          </w:tcPr>
          <w:p w14:paraId="35608439" w14:textId="77777777" w:rsidR="00582E8C" w:rsidRPr="0076238C" w:rsidRDefault="00582E8C" w:rsidP="00A40F90">
            <w:pPr>
              <w:pStyle w:val="ProductList-OfferingBody"/>
              <w:jc w:val="center"/>
            </w:pPr>
            <w:r>
              <w:t>25%</w:t>
            </w:r>
          </w:p>
        </w:tc>
      </w:tr>
    </w:tbl>
    <w:p w14:paraId="465694E2" w14:textId="77777777" w:rsidR="00582E8C" w:rsidRPr="002928A2" w:rsidRDefault="00582E8C" w:rsidP="00582E8C">
      <w:pPr>
        <w:spacing w:after="0"/>
        <w:rPr>
          <w:sz w:val="18"/>
          <w:szCs w:val="18"/>
        </w:rPr>
      </w:pPr>
    </w:p>
    <w:p w14:paraId="029A7B92" w14:textId="77777777" w:rsidR="00582E8C" w:rsidRPr="002928A2" w:rsidRDefault="00582E8C" w:rsidP="00582E8C">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582E8C">
      <w:pPr>
        <w:spacing w:after="0" w:line="252" w:lineRule="auto"/>
        <w:ind w:left="720"/>
        <w:rPr>
          <w:sz w:val="18"/>
          <w:szCs w:val="18"/>
        </w:rPr>
      </w:pPr>
    </w:p>
    <w:p w14:paraId="772B755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582E8C">
      <w:pPr>
        <w:spacing w:after="0" w:line="252" w:lineRule="auto"/>
        <w:ind w:left="720"/>
        <w:rPr>
          <w:sz w:val="18"/>
          <w:szCs w:val="18"/>
        </w:rPr>
      </w:pPr>
    </w:p>
    <w:p w14:paraId="6AEEA6DA" w14:textId="0FE9FC79" w:rsidR="00582E8C" w:rsidRDefault="00582E8C" w:rsidP="00582E8C">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582E8C">
      <w:pPr>
        <w:spacing w:after="0" w:line="252" w:lineRule="auto"/>
        <w:ind w:left="720"/>
        <w:rPr>
          <w:sz w:val="18"/>
          <w:szCs w:val="18"/>
        </w:rPr>
      </w:pPr>
    </w:p>
    <w:p w14:paraId="6083FA38" w14:textId="77777777" w:rsidR="00582E8C" w:rsidRPr="002928A2" w:rsidRDefault="00475864"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582E8C">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A40F90">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A40F90">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A40F90">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A40F90">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A40F90">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A40F90">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A40F90">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A40F90">
            <w:pPr>
              <w:pStyle w:val="ProductList-OfferingBody"/>
              <w:spacing w:line="256" w:lineRule="auto"/>
              <w:jc w:val="center"/>
            </w:pPr>
            <w:r>
              <w:t>100%</w:t>
            </w:r>
          </w:p>
        </w:tc>
      </w:tr>
    </w:tbl>
    <w:p w14:paraId="2BD86007"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46" w:name="_Toc25746723"/>
      <w:r w:rsidRPr="001C6467">
        <w:rPr>
          <w:szCs w:val="28"/>
          <w:lang w:eastAsia="en-US" w:bidi="ar-SA"/>
        </w:rPr>
        <w:t>Scheduler</w:t>
      </w:r>
      <w:bookmarkEnd w:id="246"/>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2928A2" w:rsidRDefault="0047586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26E8B78C"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47" w:name="_Toc25746724"/>
      <w:r w:rsidRPr="001C6467">
        <w:rPr>
          <w:szCs w:val="28"/>
          <w:lang w:val="en-US" w:eastAsia="en-US" w:bidi="ar-SA"/>
        </w:rPr>
        <w:t>Search</w:t>
      </w:r>
      <w:bookmarkEnd w:id="247"/>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lastRenderedPageBreak/>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4C77DC90" w:rsidR="00E81D86" w:rsidRDefault="00E81D86" w:rsidP="002928A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2928A2">
      <w:pPr>
        <w:pStyle w:val="ProductList-Body"/>
      </w:pPr>
    </w:p>
    <w:p w14:paraId="54E02994" w14:textId="1AEC9EF0" w:rsidR="00E81D86" w:rsidRPr="002928A2" w:rsidRDefault="00733E6D" w:rsidP="00E81D86">
      <w:pPr>
        <w:pStyle w:val="Heading4"/>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3A027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3A0273">
            <w:pPr>
              <w:pStyle w:val="ProductList-OfferingBody"/>
              <w:keepNext/>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3A0273">
            <w:pPr>
              <w:pStyle w:val="ProductList-OfferingBody"/>
              <w:keepNext/>
              <w:jc w:val="center"/>
            </w:pPr>
            <w:r>
              <w:t>&lt; 99,9 %</w:t>
            </w:r>
          </w:p>
        </w:tc>
        <w:tc>
          <w:tcPr>
            <w:tcW w:w="5400" w:type="dxa"/>
          </w:tcPr>
          <w:p w14:paraId="14E2BD05" w14:textId="3A8643DC" w:rsidR="00E81D86" w:rsidRPr="0076238C" w:rsidRDefault="00E81D86" w:rsidP="003A0273">
            <w:pPr>
              <w:pStyle w:val="ProductList-OfferingBody"/>
              <w:keepNext/>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bookmarkStart w:id="248" w:name="_Toc421206057"/>
    <w:bookmarkStart w:id="249" w:name="_Toc425256443"/>
    <w:p w14:paraId="48D648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50" w:name="_Toc25746725"/>
      <w:r>
        <w:t xml:space="preserve">Service Service-Bus - </w:t>
      </w:r>
      <w:bookmarkStart w:id="251" w:name="_Toc421206060"/>
      <w:bookmarkEnd w:id="248"/>
      <w:r>
        <w:t>Concentrateurs d’Événement</w:t>
      </w:r>
      <w:bookmarkEnd w:id="249"/>
      <w:bookmarkEnd w:id="250"/>
      <w:bookmarkEnd w:id="251"/>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2928A2" w:rsidRDefault="00475864"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2" w:name="_Toc425256444"/>
    <w:p w14:paraId="5FB6C37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53" w:name="_Toc25746726"/>
      <w:r>
        <w:lastRenderedPageBreak/>
        <w:t>Service Service-Bus - Concentrateurs de Notification</w:t>
      </w:r>
      <w:bookmarkEnd w:id="252"/>
      <w:bookmarkEnd w:id="253"/>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2928A2" w:rsidRDefault="00475864"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2928A2">
      <w:pPr>
        <w:pStyle w:val="ProductList-Body"/>
        <w:keepNext/>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4" w:name="_Toc425256445"/>
    <w:p w14:paraId="0175A35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55" w:name="_Toc25746727"/>
      <w:r>
        <w:t>Service Service-Bus - Files d’Attente et Rubriques</w:t>
      </w:r>
      <w:bookmarkEnd w:id="254"/>
      <w:bookmarkEnd w:id="255"/>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2928A2" w:rsidRDefault="00475864"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56" w:name="_Toc457821574"/>
    <w:bookmarkStart w:id="257" w:name="_Toc489270910"/>
    <w:bookmarkStart w:id="258" w:name="_Toc487138071"/>
    <w:bookmarkStart w:id="259" w:name="ServiceBusServiceRelays"/>
    <w:p w14:paraId="19091F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992B6D">
      <w:pPr>
        <w:pStyle w:val="ProductList-Offering2Heading"/>
        <w:keepNext/>
        <w:tabs>
          <w:tab w:val="clear" w:pos="360"/>
          <w:tab w:val="clear" w:pos="720"/>
          <w:tab w:val="clear" w:pos="1080"/>
        </w:tabs>
        <w:outlineLvl w:val="2"/>
      </w:pPr>
      <w:bookmarkStart w:id="260" w:name="_Toc25746728"/>
      <w:r>
        <w:lastRenderedPageBreak/>
        <w:t>Service Service-Bus – Relais</w:t>
      </w:r>
      <w:bookmarkEnd w:id="256"/>
      <w:bookmarkEnd w:id="257"/>
      <w:bookmarkEnd w:id="258"/>
      <w:bookmarkEnd w:id="260"/>
    </w:p>
    <w:bookmarkEnd w:id="259"/>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2928A2" w:rsidRDefault="00475864"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0E0FD64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A40F90">
      <w:pPr>
        <w:pStyle w:val="ProductList-Offering2Heading"/>
        <w:keepNext/>
        <w:tabs>
          <w:tab w:val="clear" w:pos="360"/>
          <w:tab w:val="clear" w:pos="720"/>
          <w:tab w:val="clear" w:pos="1080"/>
        </w:tabs>
        <w:outlineLvl w:val="2"/>
      </w:pPr>
      <w:bookmarkStart w:id="268" w:name="_Toc25746729"/>
      <w:r>
        <w:t>Service SignalR</w:t>
      </w:r>
      <w:bookmarkEnd w:id="261"/>
      <w:bookmarkEnd w:id="268"/>
    </w:p>
    <w:p w14:paraId="5C42034A" w14:textId="77777777" w:rsidR="00A40F90" w:rsidRPr="002B713E" w:rsidRDefault="00A40F90" w:rsidP="00A40F90">
      <w:pPr>
        <w:pStyle w:val="ProductList-Body"/>
        <w:keepNext/>
      </w:pPr>
      <w:r>
        <w:rPr>
          <w:b/>
          <w:color w:val="00188F"/>
        </w:rPr>
        <w:t>Définitions supplémentaires</w:t>
      </w:r>
      <w:r>
        <w:t> </w:t>
      </w:r>
      <w:r w:rsidRPr="00195114">
        <w:rPr>
          <w:b/>
        </w:rPr>
        <w:t>:</w:t>
      </w:r>
    </w:p>
    <w:p w14:paraId="6B8507CB" w14:textId="77777777" w:rsidR="00A40F90" w:rsidRPr="002928A2" w:rsidRDefault="00A40F90" w:rsidP="00A40F90">
      <w:pPr>
        <w:autoSpaceDE w:val="0"/>
        <w:autoSpaceDN w:val="0"/>
        <w:spacing w:after="0" w:line="240" w:lineRule="auto"/>
        <w:rPr>
          <w:sz w:val="18"/>
          <w:szCs w:val="18"/>
        </w:rPr>
      </w:pPr>
      <w:bookmarkStart w:id="269"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A40F90">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A40F90">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9"/>
    <w:p w14:paraId="0E924CFF" w14:textId="77777777" w:rsidR="00A40F90" w:rsidRPr="002B713E" w:rsidRDefault="00A40F90" w:rsidP="00A40F90">
      <w:pPr>
        <w:pStyle w:val="ProductList-Body"/>
      </w:pPr>
    </w:p>
    <w:p w14:paraId="1DA08A6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A40F90">
      <w:pPr>
        <w:pStyle w:val="ProductList-Body"/>
      </w:pPr>
    </w:p>
    <w:p w14:paraId="4A31D669" w14:textId="77777777" w:rsidR="00A40F90" w:rsidRPr="002928A2" w:rsidRDefault="00475864"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A40F90">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A40F90">
      <w:pPr>
        <w:pStyle w:val="ProductList-Body"/>
      </w:pPr>
    </w:p>
    <w:p w14:paraId="50F04F85" w14:textId="77777777" w:rsidR="00A40F90" w:rsidRPr="002B713E" w:rsidRDefault="00A40F90" w:rsidP="00A40F90">
      <w:pPr>
        <w:pStyle w:val="ProductList-Body"/>
        <w:keepNext/>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A40F90">
            <w:pPr>
              <w:pStyle w:val="ProductList-OfferingBody"/>
              <w:jc w:val="center"/>
            </w:pPr>
            <w:r>
              <w:t>&lt; 99,9 %</w:t>
            </w:r>
          </w:p>
        </w:tc>
        <w:tc>
          <w:tcPr>
            <w:tcW w:w="5400" w:type="dxa"/>
          </w:tcPr>
          <w:p w14:paraId="796EA514" w14:textId="77777777" w:rsidR="00A40F90" w:rsidRPr="005A3C16" w:rsidRDefault="00A40F90" w:rsidP="00A40F90">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A40F90">
            <w:pPr>
              <w:pStyle w:val="ProductList-OfferingBody"/>
              <w:jc w:val="center"/>
            </w:pPr>
            <w:r>
              <w:t>&lt; 99 %</w:t>
            </w:r>
          </w:p>
        </w:tc>
        <w:tc>
          <w:tcPr>
            <w:tcW w:w="5400" w:type="dxa"/>
          </w:tcPr>
          <w:p w14:paraId="522703DD" w14:textId="77777777" w:rsidR="00A40F90" w:rsidRPr="005A3C16" w:rsidRDefault="00A40F90" w:rsidP="00A40F90">
            <w:pPr>
              <w:pStyle w:val="ProductList-OfferingBody"/>
              <w:jc w:val="center"/>
            </w:pPr>
            <w:r>
              <w:t>25 %</w:t>
            </w:r>
          </w:p>
        </w:tc>
      </w:tr>
    </w:tbl>
    <w:p w14:paraId="109B74BD"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114B54">
      <w:pPr>
        <w:pStyle w:val="ProductList-Offering2Heading"/>
        <w:keepNext/>
        <w:tabs>
          <w:tab w:val="clear" w:pos="360"/>
          <w:tab w:val="clear" w:pos="720"/>
          <w:tab w:val="clear" w:pos="1080"/>
        </w:tabs>
        <w:outlineLvl w:val="2"/>
      </w:pPr>
      <w:bookmarkStart w:id="270" w:name="_Toc25746730"/>
      <w:r>
        <w:lastRenderedPageBreak/>
        <w:t>Base de Données de l’Entrepôt de Données SQL</w:t>
      </w:r>
      <w:bookmarkEnd w:id="262"/>
      <w:bookmarkEnd w:id="263"/>
      <w:bookmarkEnd w:id="270"/>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35E32" w:rsidRDefault="00475864" w:rsidP="007A3D3A">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bookmarkStart w:id="271" w:name="_Toc454545908"/>
    <w:bookmarkStart w:id="272" w:name="_Toc453915872"/>
    <w:p w14:paraId="36DA2ED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73" w:name="_Toc25746731"/>
      <w:r>
        <w:t>Service de Base de Données SQL (éditions De Base, Standard et Premium)</w:t>
      </w:r>
      <w:bookmarkEnd w:id="271"/>
      <w:bookmarkEnd w:id="272"/>
      <w:bookmarkEnd w:id="273"/>
    </w:p>
    <w:bookmarkEnd w:id="264"/>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2928A2" w:rsidRDefault="00475864"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bookmarkStart w:id="274" w:name="_Toc454545909"/>
    <w:p w14:paraId="6B42FA4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75" w:name="_Toc25746732"/>
      <w:r>
        <w:t>Service de Base de Données SQL (éditions Web et Business)</w:t>
      </w:r>
      <w:bookmarkEnd w:id="265"/>
      <w:bookmarkEnd w:id="274"/>
      <w:bookmarkEnd w:id="275"/>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lastRenderedPageBreak/>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2928A2" w:rsidRDefault="00475864"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03895390"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76" w:name="_Toc25746733"/>
      <w:r>
        <w:t>SQL Server Stretch Database</w:t>
      </w:r>
      <w:bookmarkEnd w:id="266"/>
      <w:bookmarkEnd w:id="276"/>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2928A2" w:rsidRDefault="00475864" w:rsidP="007546C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46576AE4"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77" w:name="_Toc25746734"/>
      <w:r w:rsidRPr="001C6467">
        <w:rPr>
          <w:szCs w:val="28"/>
          <w:lang w:val="en-US" w:eastAsia="en-US" w:bidi="ar-SA"/>
        </w:rPr>
        <w:t>Service Storage</w:t>
      </w:r>
      <w:bookmarkEnd w:id="277"/>
    </w:p>
    <w:bookmarkEnd w:id="267"/>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3A0273">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3A0273">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3A0273">
      <w:pPr>
        <w:pStyle w:val="ProductList-Body"/>
      </w:pPr>
      <w:r>
        <w:t>« </w:t>
      </w:r>
      <w:r>
        <w:rPr>
          <w:b/>
          <w:color w:val="00188F"/>
        </w:rPr>
        <w:t>Niveau d’Accès Chaud</w:t>
      </w:r>
      <w:r>
        <w:t> » désigne un attribut d’objet blob ou de compte indiquant que l’accès est fréquent.</w:t>
      </w:r>
    </w:p>
    <w:p w14:paraId="5698918B" w14:textId="3DE48337" w:rsidR="00013400" w:rsidRPr="00815D37" w:rsidRDefault="003A0273" w:rsidP="003A0273">
      <w:pPr>
        <w:pStyle w:val="ProductList-Body"/>
        <w:spacing w:after="40"/>
      </w:pPr>
      <w:r w:rsidRPr="00426103">
        <w:t xml:space="preserve"> </w:t>
      </w:r>
      <w:r w:rsidR="00013400" w:rsidRPr="00426103">
        <w:t>«</w:t>
      </w:r>
      <w:r w:rsidR="00013400">
        <w:t> </w:t>
      </w:r>
      <w:r w:rsidR="00013400">
        <w:rPr>
          <w:b/>
          <w:color w:val="00188F"/>
        </w:rPr>
        <w:t>Transactions Exclues</w:t>
      </w:r>
      <w:r w:rsidR="00013400">
        <w:t> </w:t>
      </w:r>
      <w:r w:rsidR="00013400" w:rsidRPr="00426103">
        <w:t>»</w:t>
      </w:r>
      <w:r w:rsidR="00013400">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lastRenderedPageBreak/>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3A0273">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3A0273">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3A0273">
            <w:pPr>
              <w:pStyle w:val="ProductList-OfferingBody"/>
            </w:pPr>
            <w:r>
              <w:t>PutBlob et GetBlob (comprend les blocs et les pages)</w:t>
            </w:r>
          </w:p>
          <w:p w14:paraId="64681D06" w14:textId="1A6D559A" w:rsidR="003A0273" w:rsidRPr="0076238C" w:rsidRDefault="003A0273" w:rsidP="003A0273">
            <w:pPr>
              <w:pStyle w:val="ProductList-OfferingBody"/>
            </w:pPr>
            <w:r>
              <w:t>Obtenir des plages valables d’objets blob de pages</w:t>
            </w:r>
          </w:p>
        </w:tc>
        <w:tc>
          <w:tcPr>
            <w:tcW w:w="5400" w:type="dxa"/>
          </w:tcPr>
          <w:p w14:paraId="092E565C" w14:textId="2AA9389D" w:rsidR="003A0273" w:rsidRPr="0076238C" w:rsidRDefault="003A0273" w:rsidP="003A0273">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3A0273">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3A0273">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3A0273">
            <w:pPr>
              <w:pStyle w:val="ProductList-OfferingBody"/>
            </w:pPr>
            <w:r>
              <w:t>Copier l’objet blob</w:t>
            </w:r>
          </w:p>
        </w:tc>
        <w:tc>
          <w:tcPr>
            <w:tcW w:w="5400" w:type="dxa"/>
          </w:tcPr>
          <w:p w14:paraId="093FA929" w14:textId="069EBF5B" w:rsidR="003A0273" w:rsidRPr="0076238C" w:rsidRDefault="003A0273" w:rsidP="003A0273">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3A0273">
            <w:pPr>
              <w:pStyle w:val="ProductList-OfferingBody"/>
            </w:pPr>
            <w:r>
              <w:rPr>
                <w:rFonts w:cstheme="minorHAnsi"/>
                <w:szCs w:val="16"/>
              </w:rPr>
              <w:t>Copier Fichier</w:t>
            </w:r>
          </w:p>
        </w:tc>
        <w:tc>
          <w:tcPr>
            <w:tcW w:w="5400" w:type="dxa"/>
          </w:tcPr>
          <w:p w14:paraId="2F4346F6" w14:textId="44C0A9C8" w:rsidR="003A0273" w:rsidRPr="00CA3972" w:rsidRDefault="003A0273" w:rsidP="003A0273">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3A0273">
            <w:pPr>
              <w:pStyle w:val="ProductList-OfferingBody"/>
              <w:rPr>
                <w:rFonts w:eastAsia="Calibri"/>
              </w:rPr>
            </w:pPr>
            <w:r>
              <w:t xml:space="preserve">PutBlockList </w:t>
            </w:r>
          </w:p>
          <w:p w14:paraId="494074DA" w14:textId="3ED7C7C5" w:rsidR="003A0273" w:rsidRPr="0076238C" w:rsidRDefault="003A0273" w:rsidP="003A0273">
            <w:pPr>
              <w:pStyle w:val="ProductList-OfferingBody"/>
            </w:pPr>
            <w:r>
              <w:t>GetBlockList</w:t>
            </w:r>
          </w:p>
        </w:tc>
        <w:tc>
          <w:tcPr>
            <w:tcW w:w="5400" w:type="dxa"/>
          </w:tcPr>
          <w:p w14:paraId="48CFA19E" w14:textId="6172AF24" w:rsidR="003A0273" w:rsidRDefault="003A0273" w:rsidP="003A0273">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3A0273">
            <w:pPr>
              <w:pStyle w:val="ProductList-OfferingBody"/>
            </w:pPr>
            <w:r>
              <w:t>Requête de table</w:t>
            </w:r>
          </w:p>
          <w:p w14:paraId="76328CB3" w14:textId="5A1E1526" w:rsidR="003A0273" w:rsidRPr="0076238C" w:rsidRDefault="003A0273" w:rsidP="003A0273">
            <w:pPr>
              <w:pStyle w:val="ProductList-OfferingBody"/>
            </w:pPr>
            <w:r>
              <w:t>Répertorier les opérations</w:t>
            </w:r>
          </w:p>
        </w:tc>
        <w:tc>
          <w:tcPr>
            <w:tcW w:w="5400" w:type="dxa"/>
          </w:tcPr>
          <w:p w14:paraId="0C4CA498" w14:textId="554FD458" w:rsidR="003A0273" w:rsidRDefault="003A0273" w:rsidP="003A0273">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3A0273">
            <w:pPr>
              <w:pStyle w:val="ProductList-OfferingBody"/>
            </w:pPr>
            <w:r>
              <w:t>Traiter les opérations de table par lots</w:t>
            </w:r>
          </w:p>
        </w:tc>
        <w:tc>
          <w:tcPr>
            <w:tcW w:w="5400" w:type="dxa"/>
          </w:tcPr>
          <w:p w14:paraId="4825ACDA" w14:textId="25C246B1" w:rsidR="003A0273" w:rsidRDefault="003A0273" w:rsidP="003A0273">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3A0273">
            <w:pPr>
              <w:pStyle w:val="ProductList-OfferingBody"/>
            </w:pPr>
            <w:r>
              <w:t xml:space="preserve">Toutes les opérations de table pour une seule entité </w:t>
            </w:r>
          </w:p>
          <w:p w14:paraId="3E3AC1FB" w14:textId="5ABFA770" w:rsidR="003A0273" w:rsidRPr="0076238C" w:rsidRDefault="003A0273" w:rsidP="003A0273">
            <w:pPr>
              <w:pStyle w:val="ProductList-OfferingBody"/>
            </w:pPr>
            <w:r>
              <w:t>Toutes les opérations relatives à des objets blob, des fichiers et des opérations message</w:t>
            </w:r>
          </w:p>
        </w:tc>
        <w:tc>
          <w:tcPr>
            <w:tcW w:w="5400" w:type="dxa"/>
          </w:tcPr>
          <w:p w14:paraId="6F309751" w14:textId="3553C795" w:rsidR="003A0273" w:rsidRDefault="003A0273" w:rsidP="003A0273">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5D4A94">
      <w:pPr>
        <w:pStyle w:val="ProductList-Body"/>
        <w:rPr>
          <w:szCs w:val="18"/>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2928A2" w:rsidRDefault="008F0F3F" w:rsidP="005D4A94">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3A0273">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3A0273">
      <w:pPr>
        <w:pStyle w:val="ProductList-ClauseHeading"/>
        <w:keepNext/>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bookmarkStart w:id="278" w:name="_Toc412532214"/>
    <w:p w14:paraId="22AC93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79" w:name="_Toc25746735"/>
      <w:r w:rsidRPr="001C6467">
        <w:rPr>
          <w:szCs w:val="28"/>
        </w:rPr>
        <w:t>Stream Analytics – Appels d’API</w:t>
      </w:r>
      <w:bookmarkEnd w:id="279"/>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51AE2929"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80" w:name="_Toc25746736"/>
      <w:r w:rsidRPr="001C6467">
        <w:rPr>
          <w:szCs w:val="28"/>
        </w:rPr>
        <w:t>Stream Analytics – Travaux</w:t>
      </w:r>
      <w:bookmarkEnd w:id="280"/>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475864"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216DEB01"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81" w:name="_Toc25746737"/>
      <w:r w:rsidRPr="001C6467">
        <w:rPr>
          <w:szCs w:val="28"/>
          <w:lang w:val="en-US" w:eastAsia="en-US" w:bidi="ar-SA"/>
        </w:rPr>
        <w:t>Service Traffic Manager</w:t>
      </w:r>
      <w:bookmarkEnd w:id="278"/>
      <w:bookmarkEnd w:id="281"/>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2928A2" w:rsidRDefault="00475864"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0DD486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93" w:name="_Toc25746738"/>
      <w:r>
        <w:t>Machines virtuelles</w:t>
      </w:r>
      <w:bookmarkEnd w:id="282"/>
      <w:bookmarkEnd w:id="283"/>
      <w:bookmarkEnd w:id="284"/>
      <w:bookmarkEnd w:id="285"/>
      <w:bookmarkEnd w:id="286"/>
      <w:bookmarkEnd w:id="293"/>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lastRenderedPageBreak/>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093F79">
      <w:pPr>
        <w:pStyle w:val="ProductList-Body"/>
        <w:ind w:left="360"/>
      </w:pPr>
    </w:p>
    <w:p w14:paraId="3C4EEAFD" w14:textId="77777777" w:rsidR="00093F79" w:rsidRPr="002928A2" w:rsidRDefault="00093F79" w:rsidP="00093F79">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A40F90">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A40F90">
            <w:pPr>
              <w:pStyle w:val="ProductList-OfferingBody"/>
              <w:jc w:val="center"/>
            </w:pPr>
            <w:r>
              <w:t>&lt; 99,99 %</w:t>
            </w:r>
          </w:p>
        </w:tc>
        <w:tc>
          <w:tcPr>
            <w:tcW w:w="5400" w:type="dxa"/>
          </w:tcPr>
          <w:p w14:paraId="7D833073" w14:textId="77777777" w:rsidR="00093F79" w:rsidRPr="0076238C" w:rsidRDefault="00093F79" w:rsidP="00A40F90">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A40F90">
            <w:pPr>
              <w:pStyle w:val="ProductList-OfferingBody"/>
              <w:jc w:val="center"/>
            </w:pPr>
            <w:r>
              <w:t>&lt; 99 %</w:t>
            </w:r>
          </w:p>
        </w:tc>
        <w:tc>
          <w:tcPr>
            <w:tcW w:w="5400" w:type="dxa"/>
          </w:tcPr>
          <w:p w14:paraId="4C1169B8" w14:textId="77777777" w:rsidR="00093F79" w:rsidRPr="0076238C" w:rsidRDefault="00093F79" w:rsidP="00A40F90">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A40F90">
            <w:pPr>
              <w:pStyle w:val="ProductList-OfferingBody"/>
              <w:jc w:val="center"/>
            </w:pPr>
            <w:r>
              <w:t>&lt; 95 %</w:t>
            </w:r>
          </w:p>
        </w:tc>
        <w:tc>
          <w:tcPr>
            <w:tcW w:w="5400" w:type="dxa"/>
          </w:tcPr>
          <w:p w14:paraId="46B5DA11" w14:textId="77777777" w:rsidR="00093F79" w:rsidRDefault="00093F79" w:rsidP="00A40F90">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lastRenderedPageBreak/>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3A0273">
      <w:pPr>
        <w:pStyle w:val="ProductList-Body"/>
        <w:keepNext/>
        <w:ind w:left="360"/>
      </w:pPr>
      <w:r w:rsidRPr="0037096E">
        <w:rPr>
          <w:b/>
          <w:color w:val="0072C6"/>
        </w:rPr>
        <w:t>Avoir Service</w:t>
      </w:r>
      <w:r w:rsidRPr="0037096E">
        <w:t> </w:t>
      </w:r>
      <w:r w:rsidRPr="006E70DE">
        <w:rPr>
          <w:bCs/>
        </w:rPr>
        <w:t>:</w:t>
      </w:r>
    </w:p>
    <w:p w14:paraId="4AC83246" w14:textId="77777777" w:rsidR="007B4942" w:rsidRPr="0037096E" w:rsidRDefault="007B4942" w:rsidP="003A0273">
      <w:pPr>
        <w:pStyle w:val="ProductList-Body"/>
        <w:keepNext/>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3A0273">
            <w:pPr>
              <w:pStyle w:val="ProductList-OfferingBody"/>
              <w:keepNext/>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3A0273">
            <w:pPr>
              <w:pStyle w:val="ProductList-OfferingBody"/>
              <w:keepNext/>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3A0273">
            <w:pPr>
              <w:pStyle w:val="ProductList-OfferingBody"/>
              <w:keepNext/>
              <w:jc w:val="center"/>
            </w:pPr>
            <w:r w:rsidRPr="0037096E">
              <w:t>&lt; 99,9 %</w:t>
            </w:r>
          </w:p>
        </w:tc>
        <w:tc>
          <w:tcPr>
            <w:tcW w:w="5400" w:type="dxa"/>
          </w:tcPr>
          <w:p w14:paraId="70B2775F" w14:textId="77777777" w:rsidR="007B4942" w:rsidRPr="0037096E" w:rsidRDefault="007B4942" w:rsidP="003A0273">
            <w:pPr>
              <w:pStyle w:val="ProductList-OfferingBody"/>
              <w:keepNext/>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3A0273">
            <w:pPr>
              <w:pStyle w:val="ProductList-OfferingBody"/>
              <w:keepNext/>
              <w:jc w:val="center"/>
            </w:pPr>
            <w:r w:rsidRPr="0037096E">
              <w:t>&lt; 99 %</w:t>
            </w:r>
          </w:p>
        </w:tc>
        <w:tc>
          <w:tcPr>
            <w:tcW w:w="5400" w:type="dxa"/>
          </w:tcPr>
          <w:p w14:paraId="66B42312" w14:textId="77777777" w:rsidR="007B4942" w:rsidRPr="0037096E" w:rsidRDefault="007B4942" w:rsidP="003A0273">
            <w:pPr>
              <w:pStyle w:val="ProductList-OfferingBody"/>
              <w:keepNext/>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43046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3A0273">
      <w:pPr>
        <w:pStyle w:val="ProductList-Offering2Heading"/>
        <w:keepNext/>
        <w:outlineLvl w:val="2"/>
      </w:pPr>
      <w:bookmarkStart w:id="299" w:name="_Toc11149692"/>
      <w:bookmarkStart w:id="300" w:name="_Toc8633407"/>
      <w:bookmarkStart w:id="301" w:name="_Toc25746739"/>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Passerelle VPN</w:t>
      </w:r>
      <w:bookmarkEnd w:id="299"/>
      <w:bookmarkEnd w:id="300"/>
      <w:bookmarkEnd w:id="301"/>
    </w:p>
    <w:p w14:paraId="72B15F71" w14:textId="77777777" w:rsidR="003A0273" w:rsidRPr="00EF7CF9" w:rsidRDefault="003A0273" w:rsidP="003A0273">
      <w:pPr>
        <w:pStyle w:val="ProductList-Body"/>
      </w:pPr>
      <w:r>
        <w:rPr>
          <w:b/>
          <w:color w:val="00188F"/>
        </w:rPr>
        <w:t>Définitions supplémentaires</w:t>
      </w:r>
      <w:r>
        <w:t> </w:t>
      </w:r>
      <w:r w:rsidRPr="00176F5C">
        <w:rPr>
          <w:b/>
        </w:rPr>
        <w:t>:</w:t>
      </w:r>
    </w:p>
    <w:p w14:paraId="19A75C87" w14:textId="77777777" w:rsidR="003A0273" w:rsidRPr="00EF7CF9" w:rsidRDefault="003A0273" w:rsidP="003A0273">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3A0273">
      <w:pPr>
        <w:pStyle w:val="ProductList-Body"/>
      </w:pPr>
    </w:p>
    <w:p w14:paraId="31652A7D" w14:textId="77777777" w:rsidR="003A0273" w:rsidRPr="00EF7CF9" w:rsidRDefault="003A0273" w:rsidP="003A0273">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3A0273">
      <w:pPr>
        <w:pStyle w:val="ProductList-Body"/>
      </w:pPr>
    </w:p>
    <w:p w14:paraId="72B913F5" w14:textId="77777777" w:rsidR="003A0273" w:rsidRPr="00EF7CF9" w:rsidRDefault="003A0273" w:rsidP="003A0273">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3A0273">
      <w:pPr>
        <w:pStyle w:val="ProductList-Body"/>
      </w:pPr>
    </w:p>
    <w:p w14:paraId="3CAB96C8" w14:textId="77777777" w:rsidR="003A0273" w:rsidRPr="00EF7CF9" w:rsidRDefault="00475864" w:rsidP="003A027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3A0273">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3A0273">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285B3D">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285B3D">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285B3D">
            <w:pPr>
              <w:pStyle w:val="ProductList-OfferingBody"/>
              <w:ind w:left="-23" w:firstLine="23"/>
              <w:jc w:val="center"/>
            </w:pPr>
            <w:r>
              <w:t>&lt; 99,9 %</w:t>
            </w:r>
          </w:p>
        </w:tc>
        <w:tc>
          <w:tcPr>
            <w:tcW w:w="5220" w:type="dxa"/>
          </w:tcPr>
          <w:p w14:paraId="2A90E440" w14:textId="77777777" w:rsidR="003A0273" w:rsidRPr="00EF7CF9" w:rsidRDefault="003A0273" w:rsidP="00285B3D">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285B3D">
            <w:pPr>
              <w:pStyle w:val="ProductList-OfferingBody"/>
              <w:ind w:left="-23" w:firstLine="23"/>
              <w:jc w:val="center"/>
            </w:pPr>
            <w:r>
              <w:t>&lt; 99 %</w:t>
            </w:r>
          </w:p>
        </w:tc>
        <w:tc>
          <w:tcPr>
            <w:tcW w:w="5220" w:type="dxa"/>
          </w:tcPr>
          <w:p w14:paraId="0831B6B5" w14:textId="77777777" w:rsidR="003A0273" w:rsidRPr="00EF7CF9" w:rsidRDefault="003A0273" w:rsidP="00285B3D">
            <w:pPr>
              <w:pStyle w:val="ProductList-OfferingBody"/>
              <w:jc w:val="center"/>
            </w:pPr>
            <w:r>
              <w:t>25%</w:t>
            </w:r>
          </w:p>
        </w:tc>
      </w:tr>
    </w:tbl>
    <w:p w14:paraId="4F8447C0" w14:textId="77777777" w:rsidR="003A0273" w:rsidRPr="00EF7CF9" w:rsidRDefault="003A0273" w:rsidP="003A0273">
      <w:pPr>
        <w:pStyle w:val="ProductList-Body"/>
      </w:pPr>
    </w:p>
    <w:p w14:paraId="20C16D24" w14:textId="77777777" w:rsidR="003A0273" w:rsidRPr="00C95138" w:rsidRDefault="003A0273" w:rsidP="003A0273">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285B3D">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285B3D">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285B3D">
            <w:pPr>
              <w:pStyle w:val="ProductList-OfferingBody"/>
              <w:jc w:val="center"/>
            </w:pPr>
            <w:r>
              <w:t>&lt; 99,95 %</w:t>
            </w:r>
          </w:p>
        </w:tc>
        <w:tc>
          <w:tcPr>
            <w:tcW w:w="5220" w:type="dxa"/>
          </w:tcPr>
          <w:p w14:paraId="21EF296F" w14:textId="77777777" w:rsidR="003A0273" w:rsidRPr="00EF7CF9" w:rsidRDefault="003A0273" w:rsidP="00285B3D">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285B3D">
            <w:pPr>
              <w:pStyle w:val="ProductList-OfferingBody"/>
              <w:jc w:val="center"/>
            </w:pPr>
            <w:r>
              <w:t>&lt; 99 %</w:t>
            </w:r>
          </w:p>
        </w:tc>
        <w:tc>
          <w:tcPr>
            <w:tcW w:w="5220" w:type="dxa"/>
          </w:tcPr>
          <w:p w14:paraId="5E01B988" w14:textId="77777777" w:rsidR="003A0273" w:rsidRPr="00EF7CF9" w:rsidRDefault="003A0273" w:rsidP="00285B3D">
            <w:pPr>
              <w:pStyle w:val="ProductList-OfferingBody"/>
              <w:jc w:val="center"/>
            </w:pPr>
            <w:r>
              <w:t>25%</w:t>
            </w:r>
          </w:p>
        </w:tc>
      </w:tr>
    </w:tbl>
    <w:p w14:paraId="1B1BF1F1"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309" w:name="_Toc25746740"/>
      <w:r>
        <w:t>Service de Build de Visual Studio App Center</w:t>
      </w:r>
      <w:bookmarkEnd w:id="302"/>
      <w:bookmarkEnd w:id="309"/>
    </w:p>
    <w:bookmarkEnd w:id="303"/>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w:t>
      </w:r>
      <w:r>
        <w:lastRenderedPageBreak/>
        <w:t>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2928A2" w:rsidRDefault="00475864"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304"/>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bookmarkStart w:id="310" w:name="_Toc500147813"/>
    <w:bookmarkStart w:id="311" w:name="VisualStudioAppCenter_TestService"/>
    <w:p w14:paraId="1A1D79F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312" w:name="_Toc25746741"/>
      <w:r>
        <w:t>Service de Test de Visual Studio App Center</w:t>
      </w:r>
      <w:bookmarkEnd w:id="310"/>
      <w:bookmarkEnd w:id="312"/>
    </w:p>
    <w:bookmarkEnd w:id="311"/>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2928A2" w:rsidRDefault="00362FF7" w:rsidP="00362FF7">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2928A2" w:rsidRDefault="00475864"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bookmarkStart w:id="313" w:name="_Toc500147814"/>
    <w:bookmarkStart w:id="314" w:name="VisualStudioAppCenter_PushNotification"/>
    <w:p w14:paraId="77DD33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315" w:name="_Toc25746742"/>
      <w:r>
        <w:t>Service de Notifications Push de Visual Studio App Center</w:t>
      </w:r>
      <w:bookmarkEnd w:id="313"/>
      <w:bookmarkEnd w:id="315"/>
    </w:p>
    <w:bookmarkEnd w:id="314"/>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lastRenderedPageBreak/>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2928A2" w:rsidRDefault="00475864"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Start w:id="316" w:name="_Toc523498651"/>
    <w:bookmarkStart w:id="317" w:name="_Toc524384537"/>
    <w:bookmarkEnd w:id="305"/>
    <w:bookmarkEnd w:id="306"/>
    <w:bookmarkEnd w:id="307"/>
    <w:bookmarkEnd w:id="308"/>
    <w:p w14:paraId="7C1FD49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E9795F">
      <w:pPr>
        <w:pStyle w:val="ProductList-Offering2Heading"/>
        <w:tabs>
          <w:tab w:val="clear" w:pos="360"/>
          <w:tab w:val="clear" w:pos="720"/>
          <w:tab w:val="clear" w:pos="1080"/>
        </w:tabs>
        <w:outlineLvl w:val="2"/>
      </w:pPr>
      <w:bookmarkStart w:id="318" w:name="_Toc25746743"/>
      <w:r w:rsidRPr="009C340C">
        <w:t xml:space="preserve">Azure Dev Ops Services – </w:t>
      </w:r>
      <w:bookmarkEnd w:id="316"/>
      <w:r w:rsidRPr="009C340C">
        <w:t>Azure Pipelines</w:t>
      </w:r>
      <w:bookmarkEnd w:id="317"/>
      <w:bookmarkEnd w:id="318"/>
    </w:p>
    <w:p w14:paraId="78343FE0" w14:textId="77777777" w:rsidR="00E9795F" w:rsidRPr="00464BE0" w:rsidRDefault="00E9795F" w:rsidP="00E9795F">
      <w:pPr>
        <w:pStyle w:val="ProductList-Body"/>
      </w:pPr>
      <w:r>
        <w:rPr>
          <w:b/>
          <w:color w:val="00188F"/>
        </w:rPr>
        <w:t>Définitions supplémentaires</w:t>
      </w:r>
      <w:r>
        <w:t> </w:t>
      </w:r>
      <w:r w:rsidRPr="005B41F5">
        <w:rPr>
          <w:b/>
          <w:bCs/>
        </w:rPr>
        <w:t>:</w:t>
      </w:r>
    </w:p>
    <w:p w14:paraId="1143DFA0"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A40F90">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A40F90">
      <w:pPr>
        <w:pStyle w:val="ProductList-Body"/>
      </w:pPr>
    </w:p>
    <w:p w14:paraId="101A83A5"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A40F90">
      <w:pPr>
        <w:pStyle w:val="ProductList-Body"/>
      </w:pPr>
    </w:p>
    <w:p w14:paraId="7DB2A8C7"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A40F90">
      <w:pPr>
        <w:pStyle w:val="ProductList-Body"/>
      </w:pPr>
    </w:p>
    <w:p w14:paraId="41FA64F9" w14:textId="77777777" w:rsidR="00A40F90" w:rsidRPr="002928A2" w:rsidRDefault="00475864"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980B3D">
      <w:pPr>
        <w:pStyle w:val="ProductList-Body"/>
        <w:keepNext/>
        <w:rPr>
          <w:b/>
          <w:color w:val="00188F"/>
        </w:rPr>
      </w:pPr>
    </w:p>
    <w:p w14:paraId="063335F0" w14:textId="04E81E2B"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6C2B658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A40F90">
      <w:pPr>
        <w:pStyle w:val="ProductList-Offering2Heading"/>
        <w:keepNext/>
        <w:tabs>
          <w:tab w:val="clear" w:pos="360"/>
          <w:tab w:val="clear" w:pos="720"/>
          <w:tab w:val="clear" w:pos="1080"/>
        </w:tabs>
        <w:outlineLvl w:val="2"/>
      </w:pPr>
      <w:bookmarkStart w:id="324" w:name="_Toc25746744"/>
      <w:r>
        <w:t>Azure DevOps Test Plans – Service de Test de Chargement</w:t>
      </w:r>
      <w:bookmarkEnd w:id="319"/>
      <w:bookmarkEnd w:id="320"/>
      <w:bookmarkEnd w:id="321"/>
      <w:bookmarkEnd w:id="322"/>
      <w:bookmarkEnd w:id="324"/>
    </w:p>
    <w:bookmarkEnd w:id="323"/>
    <w:p w14:paraId="74F67697" w14:textId="77777777" w:rsidR="00A40F90" w:rsidRPr="002B713E" w:rsidRDefault="00A40F90" w:rsidP="00A40F90">
      <w:pPr>
        <w:pStyle w:val="ProductList-Body"/>
        <w:keepNext/>
      </w:pPr>
      <w:r>
        <w:rPr>
          <w:b/>
          <w:color w:val="00188F"/>
        </w:rPr>
        <w:t>Définitions supplémentaires</w:t>
      </w:r>
      <w:r>
        <w:t> </w:t>
      </w:r>
      <w:r w:rsidRPr="00195114">
        <w:rPr>
          <w:b/>
        </w:rPr>
        <w:t>:</w:t>
      </w:r>
    </w:p>
    <w:p w14:paraId="2E3074B8"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A40F90">
      <w:pPr>
        <w:pStyle w:val="ProductList-Body"/>
      </w:pPr>
    </w:p>
    <w:p w14:paraId="34E39CCE" w14:textId="77777777" w:rsidR="00A40F90" w:rsidRPr="002B713E" w:rsidRDefault="00A40F90" w:rsidP="00A40F90">
      <w:pPr>
        <w:pStyle w:val="ProductList-Body"/>
      </w:pPr>
      <w:r>
        <w:lastRenderedPageBreak/>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A40F90">
      <w:pPr>
        <w:pStyle w:val="ProductList-Body"/>
      </w:pPr>
    </w:p>
    <w:p w14:paraId="6843602B"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A40F90">
      <w:pPr>
        <w:pStyle w:val="ProductList-Body"/>
      </w:pPr>
    </w:p>
    <w:p w14:paraId="0E41C368" w14:textId="77777777" w:rsidR="00A40F90" w:rsidRPr="002928A2" w:rsidRDefault="00475864"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3E32A3">
      <w:pPr>
        <w:pStyle w:val="ProductList-Body"/>
        <w:rPr>
          <w:b/>
          <w:color w:val="00188F"/>
        </w:rPr>
      </w:pPr>
    </w:p>
    <w:p w14:paraId="6DD0A6A3" w14:textId="5A013E69"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57E26FD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E9795F">
      <w:pPr>
        <w:pStyle w:val="ProductList-Offering2Heading"/>
        <w:tabs>
          <w:tab w:val="clear" w:pos="360"/>
          <w:tab w:val="clear" w:pos="720"/>
          <w:tab w:val="clear" w:pos="1080"/>
        </w:tabs>
        <w:outlineLvl w:val="2"/>
      </w:pPr>
      <w:bookmarkStart w:id="336" w:name="_Toc25746745"/>
      <w:r>
        <w:t>Azure DevOps Services – Service des Plans Utilisateur</w:t>
      </w:r>
      <w:bookmarkEnd w:id="325"/>
      <w:bookmarkEnd w:id="326"/>
      <w:bookmarkEnd w:id="327"/>
      <w:bookmarkEnd w:id="336"/>
    </w:p>
    <w:bookmarkEnd w:id="328"/>
    <w:p w14:paraId="76164295" w14:textId="77777777" w:rsidR="00A40F90" w:rsidRPr="002B713E" w:rsidRDefault="00A40F90" w:rsidP="00A40F90">
      <w:pPr>
        <w:pStyle w:val="ProductList-Body"/>
        <w:keepNext/>
      </w:pPr>
      <w:r>
        <w:rPr>
          <w:b/>
          <w:color w:val="00188F"/>
        </w:rPr>
        <w:t>Définitions supplémentaires</w:t>
      </w:r>
      <w:r>
        <w:t> </w:t>
      </w:r>
      <w:r w:rsidRPr="00F86213">
        <w:rPr>
          <w:b/>
        </w:rPr>
        <w:t>:</w:t>
      </w:r>
    </w:p>
    <w:p w14:paraId="4F055719"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A40F90">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A40F90">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A40F90">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A40F90">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A40F90">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A40F90">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A40F90">
      <w:pPr>
        <w:pStyle w:val="ProductList-Body"/>
      </w:pPr>
    </w:p>
    <w:p w14:paraId="58137FCD" w14:textId="77777777" w:rsidR="00A40F90" w:rsidRPr="002B713E" w:rsidRDefault="00A40F90" w:rsidP="00A40F90">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A40F90">
      <w:pPr>
        <w:pStyle w:val="ProductList-Body"/>
      </w:pPr>
    </w:p>
    <w:p w14:paraId="41878EC2" w14:textId="77777777" w:rsidR="00A40F90" w:rsidRPr="002928A2" w:rsidRDefault="00475864"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A40F90">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E9795F">
      <w:pPr>
        <w:pStyle w:val="ProductList-Body"/>
      </w:pPr>
    </w:p>
    <w:p w14:paraId="36DAB2AF" w14:textId="77777777" w:rsidR="00E9795F" w:rsidRPr="00464BE0" w:rsidRDefault="00E9795F" w:rsidP="00E9795F">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A40F90">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A40F90">
            <w:pPr>
              <w:pStyle w:val="ProductList-OfferingBody"/>
              <w:jc w:val="center"/>
            </w:pPr>
            <w:r>
              <w:t>&lt; 99,9 %</w:t>
            </w:r>
          </w:p>
        </w:tc>
        <w:tc>
          <w:tcPr>
            <w:tcW w:w="5400" w:type="dxa"/>
          </w:tcPr>
          <w:p w14:paraId="00C42F00" w14:textId="77777777" w:rsidR="00E9795F" w:rsidRPr="00EF7CF9" w:rsidRDefault="00E9795F" w:rsidP="00A40F90">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A40F90">
            <w:pPr>
              <w:pStyle w:val="ProductList-OfferingBody"/>
              <w:jc w:val="center"/>
            </w:pPr>
            <w:r>
              <w:t>&lt; 99 %</w:t>
            </w:r>
          </w:p>
        </w:tc>
        <w:tc>
          <w:tcPr>
            <w:tcW w:w="5400" w:type="dxa"/>
          </w:tcPr>
          <w:p w14:paraId="0C2B3118" w14:textId="77777777" w:rsidR="00E9795F" w:rsidRPr="00EF7CF9" w:rsidRDefault="00E9795F" w:rsidP="00A40F90">
            <w:pPr>
              <w:pStyle w:val="ProductList-OfferingBody"/>
              <w:jc w:val="center"/>
            </w:pPr>
            <w:r>
              <w:t>25 %</w:t>
            </w:r>
          </w:p>
        </w:tc>
      </w:tr>
    </w:tbl>
    <w:bookmarkEnd w:id="329"/>
    <w:p w14:paraId="24EA555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337" w:name="_Toc25746746"/>
      <w:r>
        <w:lastRenderedPageBreak/>
        <w:t>Plans Microsoft Azure</w:t>
      </w:r>
      <w:bookmarkEnd w:id="330"/>
      <w:bookmarkEnd w:id="331"/>
      <w:bookmarkEnd w:id="332"/>
      <w:bookmarkEnd w:id="333"/>
      <w:bookmarkEnd w:id="337"/>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38" w:name="_Toc25746747"/>
      <w:r>
        <w:t>Azure Active Directory Basic</w:t>
      </w:r>
      <w:bookmarkEnd w:id="334"/>
      <w:bookmarkEnd w:id="335"/>
      <w:bookmarkEnd w:id="338"/>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2928A2" w:rsidRDefault="00475864"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bookmarkStart w:id="339" w:name="_Toc457821530"/>
    <w:bookmarkStart w:id="340" w:name="_Toc461003307"/>
    <w:p w14:paraId="4CD7CAB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41" w:name="_Toc25746748"/>
      <w:r>
        <w:t>Azure Active Directory B2C</w:t>
      </w:r>
      <w:bookmarkEnd w:id="339"/>
      <w:bookmarkEnd w:id="340"/>
      <w:bookmarkEnd w:id="341"/>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2928A2" w:rsidRDefault="00475864"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2" w:name="_Toc457821531"/>
    <w:bookmarkStart w:id="343" w:name="_Toc461003308"/>
    <w:p w14:paraId="0D886A2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44" w:name="_Toc25746749"/>
      <w:r>
        <w:t>Azure Active Directory Premium</w:t>
      </w:r>
      <w:bookmarkEnd w:id="342"/>
      <w:bookmarkEnd w:id="343"/>
      <w:bookmarkEnd w:id="344"/>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 xml:space="preserve">Toute période au cours de laquelle les utilisateurs sont dans l’impossibilité de se connecter au service ou au Volet d’Accès, d’accéder aux applications du Volet d’Accès et de réinitialiser les mots de passe ; ou toute période au cours de laquelle les administrateurs </w:t>
      </w:r>
      <w:r>
        <w:rPr>
          <w:szCs w:val="18"/>
        </w:rPr>
        <w:lastRenderedPageBreak/>
        <w:t>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475864"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bookmarkStart w:id="345" w:name="_Toc457821532"/>
    <w:bookmarkStart w:id="346" w:name="_Toc461003309"/>
    <w:bookmarkStart w:id="347" w:name="AzureRightsManagementPremium"/>
    <w:p w14:paraId="455C4EC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2928A2">
      <w:pPr>
        <w:pStyle w:val="ProductList-Offering2Heading"/>
        <w:keepNext/>
        <w:tabs>
          <w:tab w:val="clear" w:pos="360"/>
          <w:tab w:val="clear" w:pos="720"/>
          <w:tab w:val="clear" w:pos="1080"/>
        </w:tabs>
        <w:outlineLvl w:val="2"/>
      </w:pPr>
      <w:bookmarkStart w:id="348" w:name="_Toc25746750"/>
      <w:r>
        <w:t>Azure Information Protection Premium</w:t>
      </w:r>
      <w:bookmarkEnd w:id="345"/>
      <w:bookmarkEnd w:id="346"/>
      <w:bookmarkEnd w:id="348"/>
    </w:p>
    <w:bookmarkEnd w:id="347"/>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2928A2" w:rsidRDefault="00475864"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bookmarkStart w:id="349" w:name="AzureSiteRecoveryService_OnPremtoAzure"/>
    <w:bookmarkStart w:id="350" w:name="_Toc461003312"/>
    <w:p w14:paraId="0147EE0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51" w:name="_Toc25746751"/>
      <w:r>
        <w:t>Service Azure Site Recovery – Basculement de Site Local vers Azure</w:t>
      </w:r>
      <w:bookmarkEnd w:id="349"/>
      <w:bookmarkEnd w:id="350"/>
      <w:bookmarkEnd w:id="351"/>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lastRenderedPageBreak/>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2" w:name="_Toc461003313"/>
    <w:p w14:paraId="3F828C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3A0273">
      <w:pPr>
        <w:pStyle w:val="ProductList-Offering2Heading"/>
        <w:keepNext/>
        <w:tabs>
          <w:tab w:val="clear" w:pos="360"/>
          <w:tab w:val="clear" w:pos="720"/>
          <w:tab w:val="clear" w:pos="1080"/>
        </w:tabs>
        <w:outlineLvl w:val="2"/>
      </w:pPr>
      <w:bookmarkStart w:id="353" w:name="_Toc25746752"/>
      <w:r>
        <w:t>Service Azure Site Recovery – Basculement de Site Local vers Site Local</w:t>
      </w:r>
      <w:bookmarkEnd w:id="352"/>
      <w:bookmarkEnd w:id="353"/>
    </w:p>
    <w:p w14:paraId="60D1FF70" w14:textId="77777777" w:rsidR="00BD240B" w:rsidRPr="00A94906" w:rsidRDefault="00BD240B" w:rsidP="003A0273">
      <w:pPr>
        <w:pStyle w:val="ProductList-Body"/>
        <w:keepNext/>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475864"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4" w:name="_Toc521676997"/>
    <w:bookmarkStart w:id="355" w:name="MultiFactorAuthenticationService"/>
    <w:bookmarkStart w:id="356" w:name="_Toc461003311"/>
    <w:bookmarkStart w:id="357" w:name="StorSimple"/>
    <w:bookmarkStart w:id="358" w:name="_Toc461003314"/>
    <w:p w14:paraId="0E64736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59" w:name="_Toc25746753"/>
      <w:r w:rsidRPr="006F6A2E">
        <w:t>Service Azure Site Recovery – Basculement d’Azure vers Azure</w:t>
      </w:r>
      <w:bookmarkEnd w:id="354"/>
      <w:bookmarkEnd w:id="359"/>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2928A2" w:rsidRDefault="00731EDD" w:rsidP="00731EDD">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lastRenderedPageBreak/>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A40F90">
            <w:pPr>
              <w:pStyle w:val="ProductList-OfferingBody"/>
              <w:jc w:val="center"/>
            </w:pPr>
            <w:r w:rsidRPr="006F6A2E">
              <w:t>&gt; 2 heures</w:t>
            </w:r>
          </w:p>
        </w:tc>
        <w:tc>
          <w:tcPr>
            <w:tcW w:w="5405" w:type="dxa"/>
          </w:tcPr>
          <w:p w14:paraId="7894DEE4" w14:textId="77777777" w:rsidR="00731EDD" w:rsidRPr="006F6A2E" w:rsidRDefault="00731EDD" w:rsidP="00A40F9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60" w:name="_Toc25746754"/>
      <w:r>
        <w:t>Service Multi-Factor Authentication</w:t>
      </w:r>
      <w:bookmarkEnd w:id="355"/>
      <w:bookmarkEnd w:id="356"/>
      <w:bookmarkEnd w:id="360"/>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475864"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45F8E444"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61" w:name="_Toc25746755"/>
      <w:r>
        <w:t>Service StorSimple</w:t>
      </w:r>
      <w:bookmarkEnd w:id="357"/>
      <w:bookmarkEnd w:id="358"/>
      <w:bookmarkEnd w:id="361"/>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2928A2" w:rsidRDefault="00475864" w:rsidP="00BD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bookmarkStart w:id="362" w:name="_Toc503177207"/>
    <w:p w14:paraId="7859ED3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63" w:name="_Toc25746756"/>
      <w:r>
        <w:t>StorSimple Data Manager</w:t>
      </w:r>
      <w:bookmarkEnd w:id="362"/>
      <w:bookmarkEnd w:id="363"/>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220659">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2928A2" w:rsidRDefault="00475864" w:rsidP="0022065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2CEEB2D2"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64" w:name="_Toc25746757"/>
      <w:r w:rsidRPr="005A6CF1">
        <w:rPr>
          <w:lang w:val="en-US" w:eastAsia="en-US" w:bidi="ar-SA"/>
        </w:rPr>
        <w:t>Autres services en ligne</w:t>
      </w:r>
      <w:bookmarkEnd w:id="364"/>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65" w:name="_Toc25746758"/>
      <w:r w:rsidRPr="005A6CF1">
        <w:rPr>
          <w:lang w:val="en-US" w:eastAsia="en-US" w:bidi="ar-SA"/>
        </w:rPr>
        <w:t>Bing Maps Plateforme Entreprise</w:t>
      </w:r>
      <w:bookmarkEnd w:id="365"/>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2928A2" w:rsidRDefault="0047586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w:t>
      </w:r>
      <w:r>
        <w:lastRenderedPageBreak/>
        <w:t>augmentation significative connue du volume d’utilisation, en sachant que cette augmentation est définie comme représentant 50 % ou plus du</w:t>
      </w:r>
      <w:r w:rsidR="00F30A8D">
        <w:t> </w:t>
      </w:r>
      <w:r>
        <w:t xml:space="preserve">volume d’utilisation du mois précédent. </w:t>
      </w:r>
    </w:p>
    <w:bookmarkStart w:id="366" w:name="_Toc413421605"/>
    <w:p w14:paraId="5C4EF9B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67" w:name="_Toc25746759"/>
      <w:r w:rsidRPr="008E64FF">
        <w:rPr>
          <w:lang w:eastAsia="en-US" w:bidi="ar-SA"/>
        </w:rPr>
        <w:t>Bing Maps Gestion des ressources mobiles</w:t>
      </w:r>
      <w:bookmarkEnd w:id="366"/>
      <w:bookmarkEnd w:id="367"/>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2928A2" w:rsidRDefault="00475864"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5CCF53C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75" w:name="_Toc25746760"/>
      <w:r>
        <w:t>Application de sécurité de Microsoft Cloud</w:t>
      </w:r>
      <w:bookmarkEnd w:id="368"/>
      <w:bookmarkEnd w:id="369"/>
      <w:bookmarkEnd w:id="375"/>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475864"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76" w:name="_Toc25746761"/>
      <w:r>
        <w:lastRenderedPageBreak/>
        <w:t>Microsoft Flow</w:t>
      </w:r>
      <w:bookmarkEnd w:id="370"/>
      <w:bookmarkEnd w:id="376"/>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2928A2" w:rsidRDefault="00475864"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4A5AE9C1"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77" w:name="_Toc25746762"/>
      <w:r>
        <w:t>Microsoft Intune</w:t>
      </w:r>
      <w:bookmarkEnd w:id="371"/>
      <w:bookmarkEnd w:id="372"/>
      <w:bookmarkEnd w:id="377"/>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2928A2" w:rsidRDefault="00475864"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8" w:name="_Toc463347212"/>
    <w:p w14:paraId="1CC680D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79" w:name="_Toc25746763"/>
      <w:r>
        <w:t>Microsoft Kaizala Pro</w:t>
      </w:r>
      <w:bookmarkEnd w:id="379"/>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2928A2" w:rsidRDefault="00475864" w:rsidP="006360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A40F90">
            <w:pPr>
              <w:pStyle w:val="ProductList-OfferingBody"/>
              <w:jc w:val="center"/>
            </w:pPr>
            <w:r>
              <w:t>&lt; 99,9%</w:t>
            </w:r>
          </w:p>
        </w:tc>
        <w:tc>
          <w:tcPr>
            <w:tcW w:w="5400" w:type="dxa"/>
          </w:tcPr>
          <w:p w14:paraId="077AAA5F" w14:textId="77777777" w:rsidR="006360A6" w:rsidRPr="0076238C" w:rsidRDefault="006360A6" w:rsidP="00A40F90">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A40F90">
            <w:pPr>
              <w:pStyle w:val="ProductList-OfferingBody"/>
              <w:jc w:val="center"/>
            </w:pPr>
            <w:r>
              <w:t>&lt; 99%</w:t>
            </w:r>
          </w:p>
        </w:tc>
        <w:tc>
          <w:tcPr>
            <w:tcW w:w="5400" w:type="dxa"/>
          </w:tcPr>
          <w:p w14:paraId="238A6DE7" w14:textId="77777777" w:rsidR="006360A6" w:rsidRPr="0076238C" w:rsidRDefault="006360A6" w:rsidP="00A40F90">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A40F90">
            <w:pPr>
              <w:pStyle w:val="ProductList-OfferingBody"/>
              <w:jc w:val="center"/>
            </w:pPr>
            <w:r>
              <w:t>&lt; 95%</w:t>
            </w:r>
          </w:p>
        </w:tc>
        <w:tc>
          <w:tcPr>
            <w:tcW w:w="5400" w:type="dxa"/>
          </w:tcPr>
          <w:p w14:paraId="65E2FC04" w14:textId="77777777" w:rsidR="006360A6" w:rsidRPr="0076238C" w:rsidRDefault="006360A6" w:rsidP="00A40F90">
            <w:pPr>
              <w:pStyle w:val="ProductList-OfferingBody"/>
              <w:jc w:val="center"/>
            </w:pPr>
            <w:r>
              <w:t>100%</w:t>
            </w:r>
          </w:p>
        </w:tc>
      </w:tr>
    </w:tbl>
    <w:p w14:paraId="06493E8E"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80" w:name="_Toc25746764"/>
      <w:r>
        <w:t>Microsoft PowerApps</w:t>
      </w:r>
      <w:bookmarkEnd w:id="378"/>
      <w:bookmarkEnd w:id="380"/>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2928A2" w:rsidRDefault="00475864"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42F17287"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81" w:name="_Toc25746765"/>
      <w:r>
        <w:t>Minecraft </w:t>
      </w:r>
      <w:r w:rsidRPr="00C55C15">
        <w:t>:</w:t>
      </w:r>
      <w:r>
        <w:t xml:space="preserve"> Education Edition</w:t>
      </w:r>
      <w:bookmarkEnd w:id="373"/>
      <w:bookmarkEnd w:id="381"/>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2928A2" w:rsidRDefault="00475864" w:rsidP="0075506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43C36D93"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82" w:name="_Toc25746766"/>
      <w:r>
        <w:t>Power BI Embedded</w:t>
      </w:r>
      <w:bookmarkEnd w:id="374"/>
      <w:bookmarkEnd w:id="382"/>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7A3D3A">
      <w:pPr>
        <w:shd w:val="clear" w:color="auto" w:fill="FFFFFF"/>
        <w:spacing w:after="0" w:line="240" w:lineRule="auto"/>
        <w:rPr>
          <w:sz w:val="18"/>
          <w:szCs w:val="18"/>
        </w:rPr>
      </w:pPr>
    </w:p>
    <w:p w14:paraId="0CF6F4B4" w14:textId="394F09BA" w:rsidR="007A3D3A" w:rsidRPr="00944E55" w:rsidRDefault="00B779AF" w:rsidP="007A3D3A">
      <w:pPr>
        <w:pStyle w:val="ProductList-Body"/>
      </w:pPr>
      <w:r w:rsidRPr="00426103">
        <w:lastRenderedPageBreak/>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2928A2" w:rsidRDefault="00475864" w:rsidP="007A3D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bookmarkStart w:id="383" w:name="_Toc484160735"/>
    <w:p w14:paraId="3B4F73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84" w:name="_Toc25746767"/>
      <w:r>
        <w:t>Power BI Premium</w:t>
      </w:r>
      <w:bookmarkEnd w:id="383"/>
      <w:bookmarkEnd w:id="384"/>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13C00311" w:rsidR="00980B3D" w:rsidRDefault="00980B3D"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2928A2">
      <w:pPr>
        <w:pStyle w:val="ProductList-Body"/>
      </w:pPr>
    </w:p>
    <w:p w14:paraId="3A733E7C" w14:textId="77777777" w:rsidR="00980B3D" w:rsidRPr="003D7764" w:rsidRDefault="00475864"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72147993"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85" w:name="_Toc25746768"/>
      <w:r w:rsidRPr="008E64FF">
        <w:rPr>
          <w:lang w:eastAsia="en-US" w:bidi="ar-SA"/>
        </w:rPr>
        <w:t xml:space="preserve">Power BI </w:t>
      </w:r>
      <w:r w:rsidR="00712939">
        <w:rPr>
          <w:lang w:eastAsia="en-US" w:bidi="ar-SA"/>
        </w:rPr>
        <w:t>Pro</w:t>
      </w:r>
      <w:bookmarkEnd w:id="385"/>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515EF4">
      <w:pPr>
        <w:pStyle w:val="ProductList-Body"/>
        <w:rPr>
          <w:szCs w:val="18"/>
        </w:rPr>
      </w:pPr>
    </w:p>
    <w:p w14:paraId="49ECCD62" w14:textId="3FDED217"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515EF4">
      <w:pPr>
        <w:pStyle w:val="ProductList-Body"/>
        <w:rPr>
          <w:szCs w:val="18"/>
        </w:rPr>
      </w:pPr>
    </w:p>
    <w:p w14:paraId="5A7E48F2" w14:textId="2D41E2CA" w:rsidR="00515EF4" w:rsidRPr="002928A2" w:rsidRDefault="0047586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1688E72E"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86" w:name="_Toc25746769"/>
      <w:r w:rsidRPr="005A6CF1">
        <w:rPr>
          <w:lang w:val="en-US" w:eastAsia="en-US" w:bidi="ar-SA"/>
        </w:rPr>
        <w:t>API Translator</w:t>
      </w:r>
      <w:bookmarkEnd w:id="386"/>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515EF4">
      <w:pPr>
        <w:pStyle w:val="ProductList-Body"/>
        <w:rPr>
          <w:szCs w:val="18"/>
        </w:rPr>
      </w:pPr>
    </w:p>
    <w:p w14:paraId="2A370CEF" w14:textId="62924BB5"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515EF4">
      <w:pPr>
        <w:pStyle w:val="ProductList-Body"/>
        <w:rPr>
          <w:szCs w:val="18"/>
        </w:rPr>
      </w:pPr>
    </w:p>
    <w:p w14:paraId="728BF4C5" w14:textId="5F470366" w:rsidR="00515EF4" w:rsidRPr="002928A2" w:rsidRDefault="0047586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bookmarkStart w:id="387" w:name="_Toc457821597"/>
    <w:bookmarkStart w:id="388" w:name="_Toc465333785"/>
    <w:bookmarkStart w:id="389" w:name="_Toc464226363"/>
    <w:p w14:paraId="1D197D0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285B3D">
      <w:pPr>
        <w:pStyle w:val="ProductList-Offering2Heading"/>
        <w:keepNext/>
        <w:tabs>
          <w:tab w:val="clear" w:pos="360"/>
          <w:tab w:val="clear" w:pos="720"/>
          <w:tab w:val="clear" w:pos="1080"/>
        </w:tabs>
        <w:outlineLvl w:val="2"/>
      </w:pPr>
      <w:bookmarkStart w:id="390" w:name="MDATP"/>
      <w:bookmarkStart w:id="391" w:name="_Toc13833097"/>
      <w:bookmarkStart w:id="392" w:name="_Toc25746770"/>
      <w:bookmarkEnd w:id="387"/>
      <w:bookmarkEnd w:id="388"/>
      <w:bookmarkEnd w:id="389"/>
      <w:r>
        <w:t>Microsoft Defender - Protection Avancée Contre les Menaces</w:t>
      </w:r>
      <w:bookmarkEnd w:id="390"/>
      <w:bookmarkEnd w:id="391"/>
      <w:bookmarkEnd w:id="392"/>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475864"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475864"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3" w:name="AppendixA"/>
      <w:bookmarkStart w:id="394" w:name="_Toc25746771"/>
      <w:r w:rsidRPr="008E64FF">
        <w:rPr>
          <w:lang w:eastAsia="en-US" w:bidi="ar-SA"/>
        </w:rPr>
        <w:lastRenderedPageBreak/>
        <w:t>Annexe A</w:t>
      </w:r>
      <w:bookmarkEnd w:id="393"/>
      <w:r w:rsidRPr="008E64FF">
        <w:rPr>
          <w:lang w:eastAsia="en-US" w:bidi="ar-SA"/>
        </w:rPr>
        <w:t xml:space="preserve"> – Engagement de Niveau de Service pour la Détection et le Blocage de Virus, l’Efficacité du Filtre de Courriers Indésirables ou les Faux Positifs</w:t>
      </w:r>
      <w:bookmarkEnd w:id="39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5" w:name="AppendixB"/>
      <w:bookmarkStart w:id="396" w:name="_Toc25746772"/>
      <w:r w:rsidRPr="008E64FF">
        <w:rPr>
          <w:lang w:eastAsia="en-US" w:bidi="ar-SA"/>
        </w:rPr>
        <w:lastRenderedPageBreak/>
        <w:t>Annexe B</w:t>
      </w:r>
      <w:bookmarkEnd w:id="39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3B00B" w14:textId="77777777" w:rsidR="00475864" w:rsidRDefault="00475864" w:rsidP="009A573F">
      <w:pPr>
        <w:spacing w:after="0" w:line="240" w:lineRule="auto"/>
      </w:pPr>
      <w:r>
        <w:separator/>
      </w:r>
    </w:p>
  </w:endnote>
  <w:endnote w:type="continuationSeparator" w:id="0">
    <w:p w14:paraId="34808749" w14:textId="77777777" w:rsidR="00475864" w:rsidRDefault="00475864" w:rsidP="009A573F">
      <w:pPr>
        <w:spacing w:after="0" w:line="240" w:lineRule="auto"/>
      </w:pPr>
      <w:r>
        <w:continuationSeparator/>
      </w:r>
    </w:p>
  </w:endnote>
  <w:endnote w:type="continuationNotice" w:id="1">
    <w:p w14:paraId="4CFA4281" w14:textId="77777777" w:rsidR="00475864" w:rsidRDefault="00475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15A2D634" w14:textId="77777777" w:rsidTr="00CA55D9">
      <w:tc>
        <w:tcPr>
          <w:tcW w:w="1255" w:type="dxa"/>
          <w:shd w:val="clear" w:color="auto" w:fill="BFBFBF" w:themeFill="background1" w:themeFillShade="BF"/>
          <w:vAlign w:val="center"/>
        </w:tcPr>
        <w:p w14:paraId="2DBC2034" w14:textId="77777777" w:rsidR="00285B3D" w:rsidRPr="00C76DF3" w:rsidRDefault="00475864"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252C3380"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85B3D" w:rsidRPr="00C76DF3" w:rsidRDefault="00475864"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0F966FD9"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85B3D" w:rsidRPr="00C76DF3" w:rsidRDefault="00475864" w:rsidP="00370875">
          <w:pPr>
            <w:pStyle w:val="ProductList-OfferingBody"/>
            <w:ind w:left="-72" w:right="-75"/>
            <w:jc w:val="center"/>
            <w:rPr>
              <w:color w:val="808080" w:themeColor="background1" w:themeShade="80"/>
              <w:sz w:val="14"/>
              <w:szCs w:val="14"/>
            </w:rPr>
          </w:pPr>
          <w:hyperlink w:anchor="Glossary" w:history="1">
            <w:r w:rsidR="00285B3D">
              <w:rPr>
                <w:rStyle w:val="Hyperlink"/>
                <w:sz w:val="14"/>
                <w:szCs w:val="14"/>
              </w:rPr>
              <w:t>Glossaire</w:t>
            </w:r>
          </w:hyperlink>
          <w:r w:rsidR="00285B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85B3D" w:rsidRPr="00C76DF3" w:rsidRDefault="00475864" w:rsidP="00370875">
          <w:pPr>
            <w:pStyle w:val="ProductList-OfferingBody"/>
            <w:ind w:left="-72" w:right="-77"/>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5" w:type="dxa"/>
          <w:tcBorders>
            <w:top w:val="nil"/>
            <w:bottom w:val="nil"/>
          </w:tcBorders>
          <w:vAlign w:val="center"/>
        </w:tcPr>
        <w:p w14:paraId="69800AFB"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85B3D" w:rsidRPr="00C76DF3" w:rsidRDefault="00475864"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0" w:type="dxa"/>
          <w:tcBorders>
            <w:top w:val="nil"/>
            <w:bottom w:val="nil"/>
          </w:tcBorders>
        </w:tcPr>
        <w:p w14:paraId="4F6F3066"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85B3D" w:rsidRPr="00C76DF3" w:rsidRDefault="0047586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85B3D">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85B3D" w:rsidRPr="00C76DF3" w:rsidRDefault="00475864"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4CB1671F"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85B3D" w:rsidRPr="00C76DF3" w:rsidRDefault="00475864"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23003BC5" w14:textId="77777777" w:rsidR="00285B3D" w:rsidRDefault="00285B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52A991D6"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A7DE9B2"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442CBDB"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33AF096" w14:textId="77777777" w:rsidR="00285B3D" w:rsidRDefault="00285B3D"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373B7FF7"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D7F3E9B"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2D58744"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DCBAE51" w14:textId="77777777" w:rsidR="00285B3D" w:rsidRDefault="00285B3D"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4C83A043"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7BDF580"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B004F23"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2DDA93A9" w14:textId="77777777" w:rsidR="00285B3D" w:rsidRDefault="00285B3D"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BF46CDE"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A392A47"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5C0452"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258BADE" w14:textId="77777777" w:rsidR="00285B3D" w:rsidRDefault="00285B3D"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AA4721A"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97ED8DA"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C3C42A"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7859250F" w14:textId="77777777" w:rsidR="00285B3D" w:rsidRDefault="00285B3D"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85B3D" w:rsidRDefault="00285B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5C12127" w14:textId="77777777" w:rsidTr="00BD5C9E">
      <w:tc>
        <w:tcPr>
          <w:tcW w:w="2070" w:type="dxa"/>
          <w:shd w:val="clear" w:color="auto" w:fill="BFBFBF" w:themeFill="background1" w:themeFillShade="BF"/>
          <w:vAlign w:val="center"/>
        </w:tcPr>
        <w:p w14:paraId="5FE24522" w14:textId="06FAA846" w:rsidR="00285B3D" w:rsidRPr="00C76DF3" w:rsidRDefault="00475864"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06832330" w14:textId="77777777" w:rsidR="00285B3D" w:rsidRPr="00C76DF3" w:rsidRDefault="00285B3D"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285B3D" w:rsidRPr="00C76DF3" w:rsidRDefault="00475864"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20EDAA8" w14:textId="77777777" w:rsidR="00285B3D" w:rsidRPr="00C76DF3" w:rsidRDefault="00285B3D"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285B3D" w:rsidRPr="00C76DF3" w:rsidRDefault="00475864"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C79DB56" w14:textId="77777777" w:rsidR="00285B3D" w:rsidRPr="00C76DF3" w:rsidRDefault="00285B3D"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285B3D" w:rsidRPr="00C76DF3" w:rsidRDefault="00475864"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8E13E0" w14:textId="77777777" w:rsidR="00285B3D" w:rsidRPr="00C76DF3" w:rsidRDefault="00285B3D"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285B3D" w:rsidRPr="00C76DF3" w:rsidRDefault="00475864"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D21B767" w14:textId="77777777" w:rsidR="00285B3D" w:rsidRDefault="00285B3D"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226BC13" w14:textId="77777777" w:rsidTr="007B4942">
      <w:tc>
        <w:tcPr>
          <w:tcW w:w="2070" w:type="dxa"/>
          <w:shd w:val="clear" w:color="auto" w:fill="BFBFBF" w:themeFill="background1" w:themeFillShade="BF"/>
          <w:vAlign w:val="center"/>
        </w:tcPr>
        <w:p w14:paraId="4BE9B867" w14:textId="77777777" w:rsidR="00285B3D" w:rsidRPr="00C76DF3" w:rsidRDefault="00475864"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605429A6" w14:textId="77777777" w:rsidR="00285B3D" w:rsidRPr="00C76DF3" w:rsidRDefault="00285B3D"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285B3D" w:rsidRPr="00C76DF3" w:rsidRDefault="00475864"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6D7CB772" w14:textId="77777777" w:rsidR="00285B3D" w:rsidRPr="00C76DF3" w:rsidRDefault="00285B3D"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285B3D" w:rsidRPr="00C76DF3" w:rsidRDefault="00475864"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E033CE8" w14:textId="77777777" w:rsidR="00285B3D" w:rsidRPr="00C76DF3" w:rsidRDefault="00285B3D"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285B3D" w:rsidRPr="00C76DF3" w:rsidRDefault="00475864"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76DF924" w14:textId="77777777" w:rsidR="00285B3D" w:rsidRPr="00C76DF3" w:rsidRDefault="00285B3D"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285B3D" w:rsidRPr="00C76DF3" w:rsidRDefault="00475864"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5876EE2" w14:textId="77777777" w:rsidR="00285B3D" w:rsidRDefault="00285B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49EBE58A" w14:textId="77777777" w:rsidTr="00B5200C">
      <w:tc>
        <w:tcPr>
          <w:tcW w:w="1255" w:type="dxa"/>
          <w:shd w:val="clear" w:color="auto" w:fill="F2F2F2" w:themeFill="background1" w:themeFillShade="F2"/>
          <w:vAlign w:val="center"/>
        </w:tcPr>
        <w:p w14:paraId="102377D2" w14:textId="77777777" w:rsidR="00285B3D" w:rsidRPr="00C76DF3" w:rsidRDefault="00475864"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3BB867E4"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85B3D" w:rsidRPr="00C76DF3" w:rsidRDefault="00475864"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53D82520"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85B3D" w:rsidRPr="00C76DF3" w:rsidRDefault="00475864" w:rsidP="00370875">
          <w:pPr>
            <w:pStyle w:val="ProductList-OfferingBody"/>
            <w:ind w:left="-72" w:right="-75"/>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3" w:type="dxa"/>
          <w:tcBorders>
            <w:top w:val="nil"/>
            <w:bottom w:val="nil"/>
          </w:tcBorders>
          <w:vAlign w:val="center"/>
        </w:tcPr>
        <w:p w14:paraId="1125AF40"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85B3D" w:rsidRPr="00C76DF3" w:rsidRDefault="00475864"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5" w:type="dxa"/>
          <w:tcBorders>
            <w:top w:val="nil"/>
            <w:bottom w:val="nil"/>
          </w:tcBorders>
          <w:vAlign w:val="center"/>
        </w:tcPr>
        <w:p w14:paraId="1E5F93B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85B3D" w:rsidRPr="00C76DF3" w:rsidRDefault="00475864" w:rsidP="000506C5">
          <w:pPr>
            <w:pStyle w:val="ProductList-OfferingBody"/>
            <w:ind w:left="-72" w:right="-77"/>
            <w:jc w:val="center"/>
            <w:rPr>
              <w:color w:val="808080" w:themeColor="background1" w:themeShade="80"/>
              <w:sz w:val="14"/>
              <w:szCs w:val="14"/>
            </w:rPr>
          </w:pPr>
          <w:hyperlink w:anchor="OnlineServices" w:history="1">
            <w:r w:rsidR="00285B3D">
              <w:rPr>
                <w:rStyle w:val="Hyperlink"/>
                <w:sz w:val="14"/>
                <w:szCs w:val="14"/>
              </w:rPr>
              <w:t>Services en Ligne</w:t>
            </w:r>
          </w:hyperlink>
        </w:p>
      </w:tc>
      <w:tc>
        <w:tcPr>
          <w:tcW w:w="180" w:type="dxa"/>
          <w:tcBorders>
            <w:top w:val="nil"/>
            <w:bottom w:val="nil"/>
          </w:tcBorders>
        </w:tcPr>
        <w:p w14:paraId="774E3CA7"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85B3D" w:rsidRPr="00C76DF3" w:rsidRDefault="0047586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85B3D">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85B3D" w:rsidRPr="00C76DF3" w:rsidRDefault="00475864"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54B478A3"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85B3D" w:rsidRPr="00C76DF3" w:rsidRDefault="00475864"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79D1A8DC" w14:textId="77777777" w:rsidR="00285B3D" w:rsidRDefault="00285B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AD3F0F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8B705C1"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E95599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C5B7717" w14:textId="77777777" w:rsidR="00285B3D" w:rsidRDefault="00285B3D"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219893AD"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7533FE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E1C8C80"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0EF73ECD" w14:textId="77777777" w:rsidR="00285B3D" w:rsidRDefault="00285B3D"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E68582C"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7A7D5A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1A04E66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066B3B1" w14:textId="77777777" w:rsidR="00285B3D" w:rsidRDefault="00285B3D"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285B3D" w:rsidRPr="00C76DF3" w:rsidRDefault="0047586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285B3D" w:rsidRPr="00C76DF3" w:rsidRDefault="0047586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56E21C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285B3D" w:rsidRPr="00C76DF3" w:rsidRDefault="0047586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A380923"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285B3D" w:rsidRPr="00C76DF3" w:rsidRDefault="0047586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02D3131"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285B3D" w:rsidRPr="00C76DF3" w:rsidRDefault="0047586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F43D20C" w14:textId="77777777" w:rsidR="00285B3D" w:rsidRDefault="00285B3D"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5B23" w14:textId="77777777" w:rsidR="00475864" w:rsidRDefault="00475864" w:rsidP="009A573F">
      <w:pPr>
        <w:spacing w:after="0" w:line="240" w:lineRule="auto"/>
      </w:pPr>
      <w:r>
        <w:separator/>
      </w:r>
    </w:p>
  </w:footnote>
  <w:footnote w:type="continuationSeparator" w:id="0">
    <w:p w14:paraId="458F6EBC" w14:textId="77777777" w:rsidR="00475864" w:rsidRDefault="00475864" w:rsidP="009A573F">
      <w:pPr>
        <w:spacing w:after="0" w:line="240" w:lineRule="auto"/>
      </w:pPr>
      <w:r>
        <w:continuationSeparator/>
      </w:r>
    </w:p>
  </w:footnote>
  <w:footnote w:type="continuationNotice" w:id="1">
    <w:p w14:paraId="21E790F4" w14:textId="77777777" w:rsidR="00475864" w:rsidRDefault="004758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768F" w14:textId="34B5CC6A" w:rsidR="00285B3D" w:rsidRPr="00DC2685" w:rsidRDefault="00475864"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w:t>
        </w:r>
        <w:r w:rsidR="00992B6D">
          <w:rPr>
            <w:sz w:val="16"/>
            <w:szCs w:val="16"/>
          </w:rPr>
          <w:t>décembre</w:t>
        </w:r>
        <w:r w:rsidR="00285B3D" w:rsidRPr="00086FBA">
          <w:rPr>
            <w:sz w:val="16"/>
            <w:szCs w:val="16"/>
          </w:rPr>
          <w:t> 2019)</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sz w:val="16"/>
            <w:szCs w:val="16"/>
          </w:rPr>
          <w:t>2</w:t>
        </w:r>
        <w:r w:rsidR="00285B3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F7BE676" w:rsidR="00285B3D" w:rsidRPr="00DC2685" w:rsidRDefault="00475864"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w:t>
        </w:r>
        <w:r w:rsidR="00992B6D">
          <w:rPr>
            <w:sz w:val="16"/>
            <w:szCs w:val="16"/>
          </w:rPr>
          <w:t>décembre</w:t>
        </w:r>
        <w:r w:rsidR="00285B3D" w:rsidRPr="00086FBA">
          <w:rPr>
            <w:sz w:val="16"/>
            <w:szCs w:val="16"/>
          </w:rPr>
          <w:t> 2019)</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noProof/>
            <w:sz w:val="16"/>
            <w:szCs w:val="16"/>
          </w:rPr>
          <w:t>2</w:t>
        </w:r>
        <w:r w:rsidR="00285B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z32fT+VBGESnmSvzeVsgGen2qAxqqzKJ0t2CwOG45UX/tiyJ5WHMUVqVURChNdsSqcQKMQEE/1jLs/+3ZjK35A==" w:salt="JcbHuhvwvzjP/Cl08Hd70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5864"/>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ABC"/>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0E99"/>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C22"/>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1C261-11BD-4915-862D-76212AF5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40465</Words>
  <Characters>230652</Characters>
  <Application>Microsoft Office Word</Application>
  <DocSecurity>8</DocSecurity>
  <Lines>1922</Lines>
  <Paragraphs>541</Paragraphs>
  <ScaleCrop>false</ScaleCrop>
  <Company/>
  <LinksUpToDate>false</LinksUpToDate>
  <CharactersWithSpaces>270576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2019-11-27T21:38:00Z</dcterms:created>
  <dcterms:modified xsi:type="dcterms:W3CDTF">2019-11-27T21:38:00Z</dcterms:modified>
</cp:coreProperties>
</file>