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5.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proofErr w:type="spellStart"/>
      <w:r w:rsidRPr="006B3E67">
        <w:rPr>
          <w:rFonts w:asciiTheme="majorHAnsi" w:hAnsiTheme="majorHAnsi"/>
          <w:color w:val="FFFFFF" w:themeColor="background1"/>
          <w:sz w:val="32"/>
          <w:szCs w:val="32"/>
        </w:rPr>
        <w:t>Licensing</w:t>
      </w:r>
      <w:proofErr w:type="spellEnd"/>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AA1BF3">
        <w:rPr>
          <w:rFonts w:asciiTheme="majorHAnsi" w:hAnsiTheme="majorHAnsi"/>
          <w:color w:val="FFFFFF" w:themeColor="background1"/>
          <w:sz w:val="72"/>
          <w:szCs w:val="72"/>
        </w:rPr>
        <w:t>Contrat de Niveau de Service</w:t>
      </w:r>
    </w:p>
    <w:p w14:paraId="7FDC130E" w14:textId="0BD12CC4"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 xml:space="preserve">Services en </w:t>
      </w:r>
      <w:r w:rsidR="003C2C35">
        <w:rPr>
          <w:rFonts w:asciiTheme="majorHAnsi" w:hAnsiTheme="majorHAnsi"/>
          <w:color w:val="FFFFFF" w:themeColor="background1"/>
          <w:sz w:val="72"/>
          <w:szCs w:val="72"/>
        </w:rPr>
        <w:t>L</w:t>
      </w:r>
      <w:r w:rsidR="00D146FB">
        <w:rPr>
          <w:rFonts w:asciiTheme="majorHAnsi" w:hAnsiTheme="majorHAnsi"/>
          <w:color w:val="FFFFFF" w:themeColor="background1"/>
          <w:sz w:val="72"/>
          <w:szCs w:val="72"/>
        </w:rPr>
        <w:t>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3861F73D" w14:textId="392258E6" w:rsidR="009C340C" w:rsidRPr="009C340C" w:rsidRDefault="00852618" w:rsidP="009C340C">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5B30F6" w:rsidRPr="005B30F6">
        <w:rPr>
          <w:rFonts w:asciiTheme="majorHAnsi" w:hAnsiTheme="majorHAnsi"/>
          <w:color w:val="FFFFFF" w:themeColor="background1"/>
          <w:sz w:val="72"/>
          <w:szCs w:val="72"/>
        </w:rPr>
        <w:t xml:space="preserve"> </w:t>
      </w:r>
      <w:r w:rsidR="00676C0D">
        <w:rPr>
          <w:rFonts w:asciiTheme="majorHAnsi" w:hAnsiTheme="majorHAnsi"/>
          <w:color w:val="FFFFFF" w:themeColor="background1"/>
          <w:sz w:val="72"/>
          <w:szCs w:val="72"/>
        </w:rPr>
        <w:t>mars</w:t>
      </w:r>
      <w:r w:rsidR="00B6224B">
        <w:rPr>
          <w:rFonts w:asciiTheme="majorHAnsi" w:hAnsiTheme="majorHAnsi"/>
          <w:color w:val="FFFFFF" w:themeColor="background1"/>
          <w:sz w:val="72"/>
          <w:szCs w:val="72"/>
        </w:rPr>
        <w:t xml:space="preserve"> 202</w:t>
      </w:r>
      <w:r w:rsidR="00676C0D">
        <w:rPr>
          <w:rFonts w:asciiTheme="majorHAnsi" w:hAnsiTheme="majorHAnsi"/>
          <w:color w:val="FFFFFF" w:themeColor="background1"/>
          <w:sz w:val="72"/>
          <w:szCs w:val="72"/>
        </w:rPr>
        <w:t>1</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2928A2" w:rsidRDefault="008E6785" w:rsidP="002024BF">
      <w:pPr>
        <w:rPr>
          <w:sz w:val="18"/>
          <w:szCs w:val="18"/>
        </w:rPr>
        <w:sectPr w:rsidR="008E6785" w:rsidRPr="002928A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65680385"/>
      <w:r w:rsidRPr="00852618">
        <w:rPr>
          <w:lang w:eastAsia="en-US" w:bidi="ar-SA"/>
        </w:rPr>
        <w:lastRenderedPageBreak/>
        <w:t>Table des matières</w:t>
      </w:r>
      <w:bookmarkEnd w:id="2"/>
      <w:bookmarkEnd w:id="3"/>
    </w:p>
    <w:p w14:paraId="077938E7" w14:textId="698F48FD" w:rsidR="00D25762" w:rsidRDefault="00AD5C31">
      <w:pPr>
        <w:pStyle w:val="TOC1"/>
        <w:tabs>
          <w:tab w:val="right" w:leader="dot" w:pos="5030"/>
        </w:tabs>
        <w:rPr>
          <w:rFonts w:eastAsiaTheme="minorEastAsia"/>
          <w:b w:val="0"/>
          <w:caps w:val="0"/>
          <w:noProof/>
          <w:sz w:val="22"/>
          <w:lang w:val="en-US" w:eastAsia="en-US" w:bidi="ar-SA"/>
        </w:rPr>
      </w:pPr>
      <w:r w:rsidRPr="00467665">
        <w:rPr>
          <w:rFonts w:cstheme="minorHAnsi"/>
        </w:rPr>
        <w:fldChar w:fldCharType="begin"/>
      </w:r>
      <w:r w:rsidRPr="0046766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67665">
        <w:rPr>
          <w:rFonts w:cstheme="minorHAnsi"/>
        </w:rPr>
        <w:fldChar w:fldCharType="separate"/>
      </w:r>
      <w:hyperlink w:anchor="_Toc65680385" w:history="1">
        <w:r w:rsidR="00D25762" w:rsidRPr="0029141E">
          <w:rPr>
            <w:rStyle w:val="Hyperlink"/>
            <w:noProof/>
            <w:lang w:eastAsia="en-US"/>
          </w:rPr>
          <w:t>Table des matières</w:t>
        </w:r>
        <w:r w:rsidR="00D25762">
          <w:rPr>
            <w:noProof/>
            <w:webHidden/>
          </w:rPr>
          <w:tab/>
        </w:r>
        <w:r w:rsidR="00D25762">
          <w:rPr>
            <w:noProof/>
            <w:webHidden/>
          </w:rPr>
          <w:fldChar w:fldCharType="begin"/>
        </w:r>
        <w:r w:rsidR="00D25762">
          <w:rPr>
            <w:noProof/>
            <w:webHidden/>
          </w:rPr>
          <w:instrText xml:space="preserve"> PAGEREF _Toc65680385 \h </w:instrText>
        </w:r>
        <w:r w:rsidR="00D25762">
          <w:rPr>
            <w:noProof/>
            <w:webHidden/>
          </w:rPr>
        </w:r>
        <w:r w:rsidR="00D25762">
          <w:rPr>
            <w:noProof/>
            <w:webHidden/>
          </w:rPr>
          <w:fldChar w:fldCharType="separate"/>
        </w:r>
        <w:r w:rsidR="00D25762">
          <w:rPr>
            <w:noProof/>
            <w:webHidden/>
          </w:rPr>
          <w:t>2</w:t>
        </w:r>
        <w:r w:rsidR="00D25762">
          <w:rPr>
            <w:noProof/>
            <w:webHidden/>
          </w:rPr>
          <w:fldChar w:fldCharType="end"/>
        </w:r>
      </w:hyperlink>
    </w:p>
    <w:p w14:paraId="5088A220" w14:textId="71E4C764" w:rsidR="00D25762" w:rsidRDefault="00D25762">
      <w:pPr>
        <w:pStyle w:val="TOC1"/>
        <w:tabs>
          <w:tab w:val="right" w:leader="dot" w:pos="5030"/>
        </w:tabs>
        <w:rPr>
          <w:rFonts w:eastAsiaTheme="minorEastAsia"/>
          <w:b w:val="0"/>
          <w:caps w:val="0"/>
          <w:noProof/>
          <w:sz w:val="22"/>
          <w:lang w:val="en-US" w:eastAsia="en-US" w:bidi="ar-SA"/>
        </w:rPr>
      </w:pPr>
      <w:hyperlink w:anchor="_Toc65680386" w:history="1">
        <w:r w:rsidRPr="0029141E">
          <w:rPr>
            <w:rStyle w:val="Hyperlink"/>
            <w:noProof/>
          </w:rPr>
          <w:t>Introduction</w:t>
        </w:r>
        <w:r>
          <w:rPr>
            <w:noProof/>
            <w:webHidden/>
          </w:rPr>
          <w:tab/>
        </w:r>
        <w:r>
          <w:rPr>
            <w:noProof/>
            <w:webHidden/>
          </w:rPr>
          <w:fldChar w:fldCharType="begin"/>
        </w:r>
        <w:r>
          <w:rPr>
            <w:noProof/>
            <w:webHidden/>
          </w:rPr>
          <w:instrText xml:space="preserve"> PAGEREF _Toc65680386 \h </w:instrText>
        </w:r>
        <w:r>
          <w:rPr>
            <w:noProof/>
            <w:webHidden/>
          </w:rPr>
        </w:r>
        <w:r>
          <w:rPr>
            <w:noProof/>
            <w:webHidden/>
          </w:rPr>
          <w:fldChar w:fldCharType="separate"/>
        </w:r>
        <w:r>
          <w:rPr>
            <w:noProof/>
            <w:webHidden/>
          </w:rPr>
          <w:t>3</w:t>
        </w:r>
        <w:r>
          <w:rPr>
            <w:noProof/>
            <w:webHidden/>
          </w:rPr>
          <w:fldChar w:fldCharType="end"/>
        </w:r>
      </w:hyperlink>
    </w:p>
    <w:p w14:paraId="24C085E9" w14:textId="24049BBE" w:rsidR="00D25762" w:rsidRDefault="00D25762">
      <w:pPr>
        <w:pStyle w:val="TOC1"/>
        <w:tabs>
          <w:tab w:val="right" w:leader="dot" w:pos="5030"/>
        </w:tabs>
        <w:rPr>
          <w:rFonts w:eastAsiaTheme="minorEastAsia"/>
          <w:b w:val="0"/>
          <w:caps w:val="0"/>
          <w:noProof/>
          <w:sz w:val="22"/>
          <w:lang w:val="en-US" w:eastAsia="en-US" w:bidi="ar-SA"/>
        </w:rPr>
      </w:pPr>
      <w:hyperlink w:anchor="_Toc65680387" w:history="1">
        <w:r w:rsidRPr="0029141E">
          <w:rPr>
            <w:rStyle w:val="Hyperlink"/>
            <w:noProof/>
            <w:lang w:eastAsia="en-US"/>
          </w:rPr>
          <w:t>Conditions Générales</w:t>
        </w:r>
        <w:r>
          <w:rPr>
            <w:noProof/>
            <w:webHidden/>
          </w:rPr>
          <w:tab/>
        </w:r>
        <w:r>
          <w:rPr>
            <w:noProof/>
            <w:webHidden/>
          </w:rPr>
          <w:fldChar w:fldCharType="begin"/>
        </w:r>
        <w:r>
          <w:rPr>
            <w:noProof/>
            <w:webHidden/>
          </w:rPr>
          <w:instrText xml:space="preserve"> PAGEREF _Toc65680387 \h </w:instrText>
        </w:r>
        <w:r>
          <w:rPr>
            <w:noProof/>
            <w:webHidden/>
          </w:rPr>
        </w:r>
        <w:r>
          <w:rPr>
            <w:noProof/>
            <w:webHidden/>
          </w:rPr>
          <w:fldChar w:fldCharType="separate"/>
        </w:r>
        <w:r>
          <w:rPr>
            <w:noProof/>
            <w:webHidden/>
          </w:rPr>
          <w:t>4</w:t>
        </w:r>
        <w:r>
          <w:rPr>
            <w:noProof/>
            <w:webHidden/>
          </w:rPr>
          <w:fldChar w:fldCharType="end"/>
        </w:r>
      </w:hyperlink>
    </w:p>
    <w:p w14:paraId="08DDFEC9" w14:textId="6D18149B" w:rsidR="00D25762" w:rsidRDefault="00D25762">
      <w:pPr>
        <w:pStyle w:val="TOC1"/>
        <w:tabs>
          <w:tab w:val="right" w:leader="dot" w:pos="5030"/>
        </w:tabs>
        <w:rPr>
          <w:rFonts w:eastAsiaTheme="minorEastAsia"/>
          <w:b w:val="0"/>
          <w:caps w:val="0"/>
          <w:noProof/>
          <w:sz w:val="22"/>
          <w:lang w:val="en-US" w:eastAsia="en-US" w:bidi="ar-SA"/>
        </w:rPr>
      </w:pPr>
      <w:hyperlink w:anchor="_Toc65680388" w:history="1">
        <w:r w:rsidRPr="0029141E">
          <w:rPr>
            <w:rStyle w:val="Hyperlink"/>
            <w:noProof/>
            <w:lang w:eastAsia="en-US"/>
          </w:rPr>
          <w:t>Conditions Spécifiques des Services</w:t>
        </w:r>
        <w:r>
          <w:rPr>
            <w:noProof/>
            <w:webHidden/>
          </w:rPr>
          <w:tab/>
        </w:r>
        <w:r>
          <w:rPr>
            <w:noProof/>
            <w:webHidden/>
          </w:rPr>
          <w:fldChar w:fldCharType="begin"/>
        </w:r>
        <w:r>
          <w:rPr>
            <w:noProof/>
            <w:webHidden/>
          </w:rPr>
          <w:instrText xml:space="preserve"> PAGEREF _Toc65680388 \h </w:instrText>
        </w:r>
        <w:r>
          <w:rPr>
            <w:noProof/>
            <w:webHidden/>
          </w:rPr>
        </w:r>
        <w:r>
          <w:rPr>
            <w:noProof/>
            <w:webHidden/>
          </w:rPr>
          <w:fldChar w:fldCharType="separate"/>
        </w:r>
        <w:r>
          <w:rPr>
            <w:noProof/>
            <w:webHidden/>
          </w:rPr>
          <w:t>6</w:t>
        </w:r>
        <w:r>
          <w:rPr>
            <w:noProof/>
            <w:webHidden/>
          </w:rPr>
          <w:fldChar w:fldCharType="end"/>
        </w:r>
      </w:hyperlink>
    </w:p>
    <w:p w14:paraId="47840EE8" w14:textId="6AB18AEB" w:rsidR="00D25762" w:rsidRDefault="00D25762">
      <w:pPr>
        <w:pStyle w:val="TOC2"/>
        <w:tabs>
          <w:tab w:val="right" w:leader="dot" w:pos="5030"/>
        </w:tabs>
        <w:rPr>
          <w:rFonts w:eastAsiaTheme="minorEastAsia"/>
          <w:b w:val="0"/>
          <w:smallCaps w:val="0"/>
          <w:noProof/>
          <w:sz w:val="22"/>
          <w:lang w:val="en-US" w:eastAsia="en-US" w:bidi="ar-SA"/>
        </w:rPr>
      </w:pPr>
      <w:hyperlink w:anchor="_Toc65680389" w:history="1">
        <w:r w:rsidRPr="0029141E">
          <w:rPr>
            <w:rStyle w:val="Hyperlink"/>
            <w:noProof/>
            <w:lang w:val="en-US"/>
          </w:rPr>
          <w:t>Microsoft Dynamics 365</w:t>
        </w:r>
        <w:r>
          <w:rPr>
            <w:noProof/>
            <w:webHidden/>
          </w:rPr>
          <w:tab/>
        </w:r>
        <w:r>
          <w:rPr>
            <w:noProof/>
            <w:webHidden/>
          </w:rPr>
          <w:fldChar w:fldCharType="begin"/>
        </w:r>
        <w:r>
          <w:rPr>
            <w:noProof/>
            <w:webHidden/>
          </w:rPr>
          <w:instrText xml:space="preserve"> PAGEREF _Toc65680389 \h </w:instrText>
        </w:r>
        <w:r>
          <w:rPr>
            <w:noProof/>
            <w:webHidden/>
          </w:rPr>
        </w:r>
        <w:r>
          <w:rPr>
            <w:noProof/>
            <w:webHidden/>
          </w:rPr>
          <w:fldChar w:fldCharType="separate"/>
        </w:r>
        <w:r>
          <w:rPr>
            <w:noProof/>
            <w:webHidden/>
          </w:rPr>
          <w:t>6</w:t>
        </w:r>
        <w:r>
          <w:rPr>
            <w:noProof/>
            <w:webHidden/>
          </w:rPr>
          <w:fldChar w:fldCharType="end"/>
        </w:r>
      </w:hyperlink>
    </w:p>
    <w:p w14:paraId="303CA25D" w14:textId="212FCCD6" w:rsidR="00D25762" w:rsidRDefault="00D25762">
      <w:pPr>
        <w:pStyle w:val="TOC4"/>
        <w:tabs>
          <w:tab w:val="right" w:leader="dot" w:pos="5030"/>
        </w:tabs>
        <w:rPr>
          <w:rFonts w:eastAsiaTheme="minorEastAsia"/>
          <w:smallCaps w:val="0"/>
          <w:noProof/>
          <w:sz w:val="22"/>
          <w:lang w:val="en-US" w:eastAsia="en-US" w:bidi="ar-SA"/>
        </w:rPr>
      </w:pPr>
      <w:hyperlink w:anchor="_Toc65680390" w:history="1">
        <w:r w:rsidRPr="0029141E">
          <w:rPr>
            <w:rStyle w:val="Hyperlink"/>
            <w:noProof/>
            <w:lang w:val="en-US"/>
          </w:rPr>
          <w:t>Dynamics 365 Business Central</w:t>
        </w:r>
        <w:r>
          <w:rPr>
            <w:noProof/>
            <w:webHidden/>
          </w:rPr>
          <w:tab/>
        </w:r>
        <w:r>
          <w:rPr>
            <w:noProof/>
            <w:webHidden/>
          </w:rPr>
          <w:fldChar w:fldCharType="begin"/>
        </w:r>
        <w:r>
          <w:rPr>
            <w:noProof/>
            <w:webHidden/>
          </w:rPr>
          <w:instrText xml:space="preserve"> PAGEREF _Toc65680390 \h </w:instrText>
        </w:r>
        <w:r>
          <w:rPr>
            <w:noProof/>
            <w:webHidden/>
          </w:rPr>
        </w:r>
        <w:r>
          <w:rPr>
            <w:noProof/>
            <w:webHidden/>
          </w:rPr>
          <w:fldChar w:fldCharType="separate"/>
        </w:r>
        <w:r>
          <w:rPr>
            <w:noProof/>
            <w:webHidden/>
          </w:rPr>
          <w:t>6</w:t>
        </w:r>
        <w:r>
          <w:rPr>
            <w:noProof/>
            <w:webHidden/>
          </w:rPr>
          <w:fldChar w:fldCharType="end"/>
        </w:r>
      </w:hyperlink>
    </w:p>
    <w:p w14:paraId="212D9996" w14:textId="2F68DECA" w:rsidR="00D25762" w:rsidRDefault="00D25762">
      <w:pPr>
        <w:pStyle w:val="TOC4"/>
        <w:tabs>
          <w:tab w:val="right" w:leader="dot" w:pos="5030"/>
        </w:tabs>
        <w:rPr>
          <w:rFonts w:eastAsiaTheme="minorEastAsia"/>
          <w:smallCaps w:val="0"/>
          <w:noProof/>
          <w:sz w:val="22"/>
          <w:lang w:val="en-US" w:eastAsia="en-US" w:bidi="ar-SA"/>
        </w:rPr>
      </w:pPr>
      <w:hyperlink w:anchor="_Toc65680391" w:history="1">
        <w:r w:rsidRPr="0029141E">
          <w:rPr>
            <w:rStyle w:val="Hyperlink"/>
            <w:noProof/>
          </w:rPr>
          <w:t>Dynamics 365 Commerce</w:t>
        </w:r>
        <w:r>
          <w:rPr>
            <w:noProof/>
            <w:webHidden/>
          </w:rPr>
          <w:tab/>
        </w:r>
        <w:r>
          <w:rPr>
            <w:noProof/>
            <w:webHidden/>
          </w:rPr>
          <w:fldChar w:fldCharType="begin"/>
        </w:r>
        <w:r>
          <w:rPr>
            <w:noProof/>
            <w:webHidden/>
          </w:rPr>
          <w:instrText xml:space="preserve"> PAGEREF _Toc65680391 \h </w:instrText>
        </w:r>
        <w:r>
          <w:rPr>
            <w:noProof/>
            <w:webHidden/>
          </w:rPr>
        </w:r>
        <w:r>
          <w:rPr>
            <w:noProof/>
            <w:webHidden/>
          </w:rPr>
          <w:fldChar w:fldCharType="separate"/>
        </w:r>
        <w:r>
          <w:rPr>
            <w:noProof/>
            <w:webHidden/>
          </w:rPr>
          <w:t>6</w:t>
        </w:r>
        <w:r>
          <w:rPr>
            <w:noProof/>
            <w:webHidden/>
          </w:rPr>
          <w:fldChar w:fldCharType="end"/>
        </w:r>
      </w:hyperlink>
    </w:p>
    <w:p w14:paraId="6D69D420" w14:textId="5424B665" w:rsidR="00D25762" w:rsidRDefault="00D25762">
      <w:pPr>
        <w:pStyle w:val="TOC4"/>
        <w:tabs>
          <w:tab w:val="right" w:leader="dot" w:pos="5030"/>
        </w:tabs>
        <w:rPr>
          <w:rFonts w:eastAsiaTheme="minorEastAsia"/>
          <w:smallCaps w:val="0"/>
          <w:noProof/>
          <w:sz w:val="22"/>
          <w:lang w:val="en-US" w:eastAsia="en-US" w:bidi="ar-SA"/>
        </w:rPr>
      </w:pPr>
      <w:hyperlink w:anchor="_Toc65680392" w:history="1">
        <w:r w:rsidRPr="0029141E">
          <w:rPr>
            <w:rStyle w:val="Hyperlink"/>
            <w:noProof/>
          </w:rPr>
          <w:t>Dynamics 365 Customer Insights</w:t>
        </w:r>
        <w:r>
          <w:rPr>
            <w:noProof/>
            <w:webHidden/>
          </w:rPr>
          <w:tab/>
        </w:r>
        <w:r>
          <w:rPr>
            <w:noProof/>
            <w:webHidden/>
          </w:rPr>
          <w:fldChar w:fldCharType="begin"/>
        </w:r>
        <w:r>
          <w:rPr>
            <w:noProof/>
            <w:webHidden/>
          </w:rPr>
          <w:instrText xml:space="preserve"> PAGEREF _Toc65680392 \h </w:instrText>
        </w:r>
        <w:r>
          <w:rPr>
            <w:noProof/>
            <w:webHidden/>
          </w:rPr>
        </w:r>
        <w:r>
          <w:rPr>
            <w:noProof/>
            <w:webHidden/>
          </w:rPr>
          <w:fldChar w:fldCharType="separate"/>
        </w:r>
        <w:r>
          <w:rPr>
            <w:noProof/>
            <w:webHidden/>
          </w:rPr>
          <w:t>7</w:t>
        </w:r>
        <w:r>
          <w:rPr>
            <w:noProof/>
            <w:webHidden/>
          </w:rPr>
          <w:fldChar w:fldCharType="end"/>
        </w:r>
      </w:hyperlink>
    </w:p>
    <w:p w14:paraId="0FFBB827" w14:textId="111D4B44" w:rsidR="00D25762" w:rsidRDefault="00D25762">
      <w:pPr>
        <w:pStyle w:val="TOC4"/>
        <w:tabs>
          <w:tab w:val="right" w:leader="dot" w:pos="5030"/>
        </w:tabs>
        <w:rPr>
          <w:rFonts w:eastAsiaTheme="minorEastAsia"/>
          <w:smallCaps w:val="0"/>
          <w:noProof/>
          <w:sz w:val="22"/>
          <w:lang w:val="en-US" w:eastAsia="en-US" w:bidi="ar-SA"/>
        </w:rPr>
      </w:pPr>
      <w:hyperlink w:anchor="_Toc65680393" w:history="1">
        <w:r w:rsidRPr="0029141E">
          <w:rPr>
            <w:rStyle w:val="Hyperlink"/>
            <w:noProof/>
            <w:lang w:val="en-US"/>
          </w:rPr>
          <w:t>Dynamics 365 Customer Service Enterprise ; Dynamics 365 Customer Service Professional ; Dynamics 365 Customer Service Insights; Dynamics 365 Field Service; Dynamics 365 Marketing</w:t>
        </w:r>
        <w:r>
          <w:rPr>
            <w:noProof/>
            <w:webHidden/>
          </w:rPr>
          <w:tab/>
        </w:r>
        <w:r>
          <w:rPr>
            <w:noProof/>
            <w:webHidden/>
          </w:rPr>
          <w:fldChar w:fldCharType="begin"/>
        </w:r>
        <w:r>
          <w:rPr>
            <w:noProof/>
            <w:webHidden/>
          </w:rPr>
          <w:instrText xml:space="preserve"> PAGEREF _Toc65680393 \h </w:instrText>
        </w:r>
        <w:r>
          <w:rPr>
            <w:noProof/>
            <w:webHidden/>
          </w:rPr>
        </w:r>
        <w:r>
          <w:rPr>
            <w:noProof/>
            <w:webHidden/>
          </w:rPr>
          <w:fldChar w:fldCharType="separate"/>
        </w:r>
        <w:r>
          <w:rPr>
            <w:noProof/>
            <w:webHidden/>
          </w:rPr>
          <w:t>7</w:t>
        </w:r>
        <w:r>
          <w:rPr>
            <w:noProof/>
            <w:webHidden/>
          </w:rPr>
          <w:fldChar w:fldCharType="end"/>
        </w:r>
      </w:hyperlink>
    </w:p>
    <w:p w14:paraId="46D472A1" w14:textId="0BF0790E" w:rsidR="00D25762" w:rsidRDefault="00D25762">
      <w:pPr>
        <w:pStyle w:val="TOC4"/>
        <w:tabs>
          <w:tab w:val="right" w:leader="dot" w:pos="5030"/>
        </w:tabs>
        <w:rPr>
          <w:rFonts w:eastAsiaTheme="minorEastAsia"/>
          <w:smallCaps w:val="0"/>
          <w:noProof/>
          <w:sz w:val="22"/>
          <w:lang w:val="en-US" w:eastAsia="en-US" w:bidi="ar-SA"/>
        </w:rPr>
      </w:pPr>
      <w:hyperlink w:anchor="_Toc65680394" w:history="1">
        <w:r w:rsidRPr="0029141E">
          <w:rPr>
            <w:rStyle w:val="Hyperlink"/>
            <w:noProof/>
          </w:rPr>
          <w:t>Dynamics 365 Fraud Protection</w:t>
        </w:r>
        <w:r>
          <w:rPr>
            <w:noProof/>
            <w:webHidden/>
          </w:rPr>
          <w:tab/>
        </w:r>
        <w:r>
          <w:rPr>
            <w:noProof/>
            <w:webHidden/>
          </w:rPr>
          <w:fldChar w:fldCharType="begin"/>
        </w:r>
        <w:r>
          <w:rPr>
            <w:noProof/>
            <w:webHidden/>
          </w:rPr>
          <w:instrText xml:space="preserve"> PAGEREF _Toc65680394 \h </w:instrText>
        </w:r>
        <w:r>
          <w:rPr>
            <w:noProof/>
            <w:webHidden/>
          </w:rPr>
        </w:r>
        <w:r>
          <w:rPr>
            <w:noProof/>
            <w:webHidden/>
          </w:rPr>
          <w:fldChar w:fldCharType="separate"/>
        </w:r>
        <w:r>
          <w:rPr>
            <w:noProof/>
            <w:webHidden/>
          </w:rPr>
          <w:t>7</w:t>
        </w:r>
        <w:r>
          <w:rPr>
            <w:noProof/>
            <w:webHidden/>
          </w:rPr>
          <w:fldChar w:fldCharType="end"/>
        </w:r>
      </w:hyperlink>
    </w:p>
    <w:p w14:paraId="5F3E68BF" w14:textId="5B9F3451" w:rsidR="00D25762" w:rsidRDefault="00D25762">
      <w:pPr>
        <w:pStyle w:val="TOC4"/>
        <w:tabs>
          <w:tab w:val="right" w:leader="dot" w:pos="5030"/>
        </w:tabs>
        <w:rPr>
          <w:rFonts w:eastAsiaTheme="minorEastAsia"/>
          <w:smallCaps w:val="0"/>
          <w:noProof/>
          <w:sz w:val="22"/>
          <w:lang w:val="en-US" w:eastAsia="en-US" w:bidi="ar-SA"/>
        </w:rPr>
      </w:pPr>
      <w:hyperlink w:anchor="_Toc65680395" w:history="1">
        <w:r w:rsidRPr="0029141E">
          <w:rPr>
            <w:rStyle w:val="Hyperlink"/>
            <w:noProof/>
            <w:lang w:val="en-US"/>
          </w:rPr>
          <w:t xml:space="preserve">Dynamics 365 </w:t>
        </w:r>
        <w:r w:rsidRPr="0029141E">
          <w:rPr>
            <w:rStyle w:val="Hyperlink"/>
            <w:noProof/>
          </w:rPr>
          <w:t>Human Resources</w:t>
        </w:r>
        <w:r>
          <w:rPr>
            <w:noProof/>
            <w:webHidden/>
          </w:rPr>
          <w:tab/>
        </w:r>
        <w:r>
          <w:rPr>
            <w:noProof/>
            <w:webHidden/>
          </w:rPr>
          <w:fldChar w:fldCharType="begin"/>
        </w:r>
        <w:r>
          <w:rPr>
            <w:noProof/>
            <w:webHidden/>
          </w:rPr>
          <w:instrText xml:space="preserve"> PAGEREF _Toc65680395 \h </w:instrText>
        </w:r>
        <w:r>
          <w:rPr>
            <w:noProof/>
            <w:webHidden/>
          </w:rPr>
        </w:r>
        <w:r>
          <w:rPr>
            <w:noProof/>
            <w:webHidden/>
          </w:rPr>
          <w:fldChar w:fldCharType="separate"/>
        </w:r>
        <w:r>
          <w:rPr>
            <w:noProof/>
            <w:webHidden/>
          </w:rPr>
          <w:t>8</w:t>
        </w:r>
        <w:r>
          <w:rPr>
            <w:noProof/>
            <w:webHidden/>
          </w:rPr>
          <w:fldChar w:fldCharType="end"/>
        </w:r>
      </w:hyperlink>
    </w:p>
    <w:p w14:paraId="7845548E" w14:textId="4D5DC451" w:rsidR="00D25762" w:rsidRDefault="00D25762">
      <w:pPr>
        <w:pStyle w:val="TOC4"/>
        <w:tabs>
          <w:tab w:val="right" w:leader="dot" w:pos="5030"/>
        </w:tabs>
        <w:rPr>
          <w:rFonts w:eastAsiaTheme="minorEastAsia"/>
          <w:smallCaps w:val="0"/>
          <w:noProof/>
          <w:sz w:val="22"/>
          <w:lang w:val="en-US" w:eastAsia="en-US" w:bidi="ar-SA"/>
        </w:rPr>
      </w:pPr>
      <w:hyperlink w:anchor="_Toc65680396" w:history="1">
        <w:r w:rsidRPr="0029141E">
          <w:rPr>
            <w:rStyle w:val="Hyperlink"/>
            <w:noProof/>
          </w:rPr>
          <w:t>Dynamics 365 Remote Assist</w:t>
        </w:r>
        <w:r>
          <w:rPr>
            <w:noProof/>
            <w:webHidden/>
          </w:rPr>
          <w:tab/>
        </w:r>
        <w:r>
          <w:rPr>
            <w:noProof/>
            <w:webHidden/>
          </w:rPr>
          <w:fldChar w:fldCharType="begin"/>
        </w:r>
        <w:r>
          <w:rPr>
            <w:noProof/>
            <w:webHidden/>
          </w:rPr>
          <w:instrText xml:space="preserve"> PAGEREF _Toc65680396 \h </w:instrText>
        </w:r>
        <w:r>
          <w:rPr>
            <w:noProof/>
            <w:webHidden/>
          </w:rPr>
        </w:r>
        <w:r>
          <w:rPr>
            <w:noProof/>
            <w:webHidden/>
          </w:rPr>
          <w:fldChar w:fldCharType="separate"/>
        </w:r>
        <w:r>
          <w:rPr>
            <w:noProof/>
            <w:webHidden/>
          </w:rPr>
          <w:t>8</w:t>
        </w:r>
        <w:r>
          <w:rPr>
            <w:noProof/>
            <w:webHidden/>
          </w:rPr>
          <w:fldChar w:fldCharType="end"/>
        </w:r>
      </w:hyperlink>
    </w:p>
    <w:p w14:paraId="16C9BE61" w14:textId="7AF9303D" w:rsidR="00D25762" w:rsidRDefault="00D25762">
      <w:pPr>
        <w:pStyle w:val="TOC4"/>
        <w:tabs>
          <w:tab w:val="right" w:leader="dot" w:pos="5030"/>
        </w:tabs>
        <w:rPr>
          <w:rFonts w:eastAsiaTheme="minorEastAsia"/>
          <w:smallCaps w:val="0"/>
          <w:noProof/>
          <w:sz w:val="22"/>
          <w:lang w:val="en-US" w:eastAsia="en-US" w:bidi="ar-SA"/>
        </w:rPr>
      </w:pPr>
      <w:hyperlink w:anchor="_Toc65680397" w:history="1">
        <w:r w:rsidRPr="0029141E">
          <w:rPr>
            <w:rStyle w:val="Hyperlink"/>
            <w:noProof/>
            <w:lang w:val="en-US"/>
          </w:rPr>
          <w:t>Dynamics 365 Sales Enterprise ; Dynamics 365 Sales Professional</w:t>
        </w:r>
        <w:r>
          <w:rPr>
            <w:noProof/>
            <w:webHidden/>
          </w:rPr>
          <w:tab/>
        </w:r>
        <w:r>
          <w:rPr>
            <w:noProof/>
            <w:webHidden/>
          </w:rPr>
          <w:fldChar w:fldCharType="begin"/>
        </w:r>
        <w:r>
          <w:rPr>
            <w:noProof/>
            <w:webHidden/>
          </w:rPr>
          <w:instrText xml:space="preserve"> PAGEREF _Toc65680397 \h </w:instrText>
        </w:r>
        <w:r>
          <w:rPr>
            <w:noProof/>
            <w:webHidden/>
          </w:rPr>
        </w:r>
        <w:r>
          <w:rPr>
            <w:noProof/>
            <w:webHidden/>
          </w:rPr>
          <w:fldChar w:fldCharType="separate"/>
        </w:r>
        <w:r>
          <w:rPr>
            <w:noProof/>
            <w:webHidden/>
          </w:rPr>
          <w:t>9</w:t>
        </w:r>
        <w:r>
          <w:rPr>
            <w:noProof/>
            <w:webHidden/>
          </w:rPr>
          <w:fldChar w:fldCharType="end"/>
        </w:r>
      </w:hyperlink>
    </w:p>
    <w:p w14:paraId="54994D34" w14:textId="63A10502" w:rsidR="00D25762" w:rsidRDefault="00D25762">
      <w:pPr>
        <w:pStyle w:val="TOC4"/>
        <w:tabs>
          <w:tab w:val="right" w:leader="dot" w:pos="5030"/>
        </w:tabs>
        <w:rPr>
          <w:rFonts w:eastAsiaTheme="minorEastAsia"/>
          <w:smallCaps w:val="0"/>
          <w:noProof/>
          <w:sz w:val="22"/>
          <w:lang w:val="en-US" w:eastAsia="en-US" w:bidi="ar-SA"/>
        </w:rPr>
      </w:pPr>
      <w:hyperlink w:anchor="_Toc65680398" w:history="1">
        <w:r w:rsidRPr="0029141E">
          <w:rPr>
            <w:rStyle w:val="Hyperlink"/>
            <w:noProof/>
            <w:lang w:val="en-US"/>
          </w:rPr>
          <w:t xml:space="preserve">Dynamics 365 </w:t>
        </w:r>
        <w:r w:rsidRPr="0029141E">
          <w:rPr>
            <w:rStyle w:val="Hyperlink"/>
            <w:noProof/>
          </w:rPr>
          <w:t>Supply Chain Management; Dynamics 365 Finance</w:t>
        </w:r>
        <w:r w:rsidRPr="0029141E">
          <w:rPr>
            <w:rStyle w:val="Hyperlink"/>
            <w:noProof/>
            <w:lang w:val="en-US"/>
          </w:rPr>
          <w:t>; Dynamics 365 Project Operations</w:t>
        </w:r>
        <w:r>
          <w:rPr>
            <w:noProof/>
            <w:webHidden/>
          </w:rPr>
          <w:tab/>
        </w:r>
        <w:r>
          <w:rPr>
            <w:noProof/>
            <w:webHidden/>
          </w:rPr>
          <w:fldChar w:fldCharType="begin"/>
        </w:r>
        <w:r>
          <w:rPr>
            <w:noProof/>
            <w:webHidden/>
          </w:rPr>
          <w:instrText xml:space="preserve"> PAGEREF _Toc65680398 \h </w:instrText>
        </w:r>
        <w:r>
          <w:rPr>
            <w:noProof/>
            <w:webHidden/>
          </w:rPr>
        </w:r>
        <w:r>
          <w:rPr>
            <w:noProof/>
            <w:webHidden/>
          </w:rPr>
          <w:fldChar w:fldCharType="separate"/>
        </w:r>
        <w:r>
          <w:rPr>
            <w:noProof/>
            <w:webHidden/>
          </w:rPr>
          <w:t>9</w:t>
        </w:r>
        <w:r>
          <w:rPr>
            <w:noProof/>
            <w:webHidden/>
          </w:rPr>
          <w:fldChar w:fldCharType="end"/>
        </w:r>
      </w:hyperlink>
    </w:p>
    <w:p w14:paraId="1833A60D" w14:textId="24686AD3" w:rsidR="00D25762" w:rsidRDefault="00D25762">
      <w:pPr>
        <w:pStyle w:val="TOC2"/>
        <w:tabs>
          <w:tab w:val="right" w:leader="dot" w:pos="5030"/>
        </w:tabs>
        <w:rPr>
          <w:rFonts w:eastAsiaTheme="minorEastAsia"/>
          <w:b w:val="0"/>
          <w:smallCaps w:val="0"/>
          <w:noProof/>
          <w:sz w:val="22"/>
          <w:lang w:val="en-US" w:eastAsia="en-US" w:bidi="ar-SA"/>
        </w:rPr>
      </w:pPr>
      <w:hyperlink w:anchor="_Toc65680399" w:history="1">
        <w:r w:rsidRPr="0029141E">
          <w:rPr>
            <w:rStyle w:val="Hyperlink"/>
            <w:noProof/>
            <w:lang w:val="en-US" w:eastAsia="en-US"/>
          </w:rPr>
          <w:t>Services Office 365</w:t>
        </w:r>
        <w:r>
          <w:rPr>
            <w:noProof/>
            <w:webHidden/>
          </w:rPr>
          <w:tab/>
        </w:r>
        <w:r>
          <w:rPr>
            <w:noProof/>
            <w:webHidden/>
          </w:rPr>
          <w:fldChar w:fldCharType="begin"/>
        </w:r>
        <w:r>
          <w:rPr>
            <w:noProof/>
            <w:webHidden/>
          </w:rPr>
          <w:instrText xml:space="preserve"> PAGEREF _Toc65680399 \h </w:instrText>
        </w:r>
        <w:r>
          <w:rPr>
            <w:noProof/>
            <w:webHidden/>
          </w:rPr>
        </w:r>
        <w:r>
          <w:rPr>
            <w:noProof/>
            <w:webHidden/>
          </w:rPr>
          <w:fldChar w:fldCharType="separate"/>
        </w:r>
        <w:r>
          <w:rPr>
            <w:noProof/>
            <w:webHidden/>
          </w:rPr>
          <w:t>10</w:t>
        </w:r>
        <w:r>
          <w:rPr>
            <w:noProof/>
            <w:webHidden/>
          </w:rPr>
          <w:fldChar w:fldCharType="end"/>
        </w:r>
      </w:hyperlink>
    </w:p>
    <w:p w14:paraId="1075F241" w14:textId="23EA894D" w:rsidR="00D25762" w:rsidRDefault="00D25762">
      <w:pPr>
        <w:pStyle w:val="TOC4"/>
        <w:tabs>
          <w:tab w:val="right" w:leader="dot" w:pos="5030"/>
        </w:tabs>
        <w:rPr>
          <w:rFonts w:eastAsiaTheme="minorEastAsia"/>
          <w:smallCaps w:val="0"/>
          <w:noProof/>
          <w:sz w:val="22"/>
          <w:lang w:val="en-US" w:eastAsia="en-US" w:bidi="ar-SA"/>
        </w:rPr>
      </w:pPr>
      <w:hyperlink w:anchor="_Toc65680400" w:history="1">
        <w:r w:rsidRPr="0029141E">
          <w:rPr>
            <w:rStyle w:val="Hyperlink"/>
            <w:noProof/>
            <w:lang w:val="en-US" w:eastAsia="en-US"/>
          </w:rPr>
          <w:t>Duet Enterprise Online</w:t>
        </w:r>
        <w:r>
          <w:rPr>
            <w:noProof/>
            <w:webHidden/>
          </w:rPr>
          <w:tab/>
        </w:r>
        <w:r>
          <w:rPr>
            <w:noProof/>
            <w:webHidden/>
          </w:rPr>
          <w:fldChar w:fldCharType="begin"/>
        </w:r>
        <w:r>
          <w:rPr>
            <w:noProof/>
            <w:webHidden/>
          </w:rPr>
          <w:instrText xml:space="preserve"> PAGEREF _Toc65680400 \h </w:instrText>
        </w:r>
        <w:r>
          <w:rPr>
            <w:noProof/>
            <w:webHidden/>
          </w:rPr>
        </w:r>
        <w:r>
          <w:rPr>
            <w:noProof/>
            <w:webHidden/>
          </w:rPr>
          <w:fldChar w:fldCharType="separate"/>
        </w:r>
        <w:r>
          <w:rPr>
            <w:noProof/>
            <w:webHidden/>
          </w:rPr>
          <w:t>10</w:t>
        </w:r>
        <w:r>
          <w:rPr>
            <w:noProof/>
            <w:webHidden/>
          </w:rPr>
          <w:fldChar w:fldCharType="end"/>
        </w:r>
      </w:hyperlink>
    </w:p>
    <w:p w14:paraId="17DB5D90" w14:textId="42241BDB" w:rsidR="00D25762" w:rsidRDefault="00D25762">
      <w:pPr>
        <w:pStyle w:val="TOC4"/>
        <w:tabs>
          <w:tab w:val="right" w:leader="dot" w:pos="5030"/>
        </w:tabs>
        <w:rPr>
          <w:rFonts w:eastAsiaTheme="minorEastAsia"/>
          <w:smallCaps w:val="0"/>
          <w:noProof/>
          <w:sz w:val="22"/>
          <w:lang w:val="en-US" w:eastAsia="en-US" w:bidi="ar-SA"/>
        </w:rPr>
      </w:pPr>
      <w:hyperlink w:anchor="_Toc65680401" w:history="1">
        <w:r w:rsidRPr="0029141E">
          <w:rPr>
            <w:rStyle w:val="Hyperlink"/>
            <w:noProof/>
            <w:lang w:eastAsia="en-US"/>
          </w:rPr>
          <w:t>Exchange Online</w:t>
        </w:r>
        <w:r>
          <w:rPr>
            <w:noProof/>
            <w:webHidden/>
          </w:rPr>
          <w:tab/>
        </w:r>
        <w:r>
          <w:rPr>
            <w:noProof/>
            <w:webHidden/>
          </w:rPr>
          <w:fldChar w:fldCharType="begin"/>
        </w:r>
        <w:r>
          <w:rPr>
            <w:noProof/>
            <w:webHidden/>
          </w:rPr>
          <w:instrText xml:space="preserve"> PAGEREF _Toc65680401 \h </w:instrText>
        </w:r>
        <w:r>
          <w:rPr>
            <w:noProof/>
            <w:webHidden/>
          </w:rPr>
        </w:r>
        <w:r>
          <w:rPr>
            <w:noProof/>
            <w:webHidden/>
          </w:rPr>
          <w:fldChar w:fldCharType="separate"/>
        </w:r>
        <w:r>
          <w:rPr>
            <w:noProof/>
            <w:webHidden/>
          </w:rPr>
          <w:t>10</w:t>
        </w:r>
        <w:r>
          <w:rPr>
            <w:noProof/>
            <w:webHidden/>
          </w:rPr>
          <w:fldChar w:fldCharType="end"/>
        </w:r>
      </w:hyperlink>
    </w:p>
    <w:p w14:paraId="55A12EC2" w14:textId="01328007" w:rsidR="00D25762" w:rsidRDefault="00D25762">
      <w:pPr>
        <w:pStyle w:val="TOC4"/>
        <w:tabs>
          <w:tab w:val="right" w:leader="dot" w:pos="5030"/>
        </w:tabs>
        <w:rPr>
          <w:rFonts w:eastAsiaTheme="minorEastAsia"/>
          <w:smallCaps w:val="0"/>
          <w:noProof/>
          <w:sz w:val="22"/>
          <w:lang w:val="en-US" w:eastAsia="en-US" w:bidi="ar-SA"/>
        </w:rPr>
      </w:pPr>
      <w:hyperlink w:anchor="_Toc65680402" w:history="1">
        <w:r w:rsidRPr="0029141E">
          <w:rPr>
            <w:rStyle w:val="Hyperlink"/>
            <w:noProof/>
            <w:lang w:eastAsia="en-US"/>
          </w:rPr>
          <w:t>Exchange Online Archiving</w:t>
        </w:r>
        <w:r>
          <w:rPr>
            <w:noProof/>
            <w:webHidden/>
          </w:rPr>
          <w:tab/>
        </w:r>
        <w:r>
          <w:rPr>
            <w:noProof/>
            <w:webHidden/>
          </w:rPr>
          <w:fldChar w:fldCharType="begin"/>
        </w:r>
        <w:r>
          <w:rPr>
            <w:noProof/>
            <w:webHidden/>
          </w:rPr>
          <w:instrText xml:space="preserve"> PAGEREF _Toc65680402 \h </w:instrText>
        </w:r>
        <w:r>
          <w:rPr>
            <w:noProof/>
            <w:webHidden/>
          </w:rPr>
        </w:r>
        <w:r>
          <w:rPr>
            <w:noProof/>
            <w:webHidden/>
          </w:rPr>
          <w:fldChar w:fldCharType="separate"/>
        </w:r>
        <w:r>
          <w:rPr>
            <w:noProof/>
            <w:webHidden/>
          </w:rPr>
          <w:t>11</w:t>
        </w:r>
        <w:r>
          <w:rPr>
            <w:noProof/>
            <w:webHidden/>
          </w:rPr>
          <w:fldChar w:fldCharType="end"/>
        </w:r>
      </w:hyperlink>
    </w:p>
    <w:p w14:paraId="238BB354" w14:textId="7D3699D1" w:rsidR="00D25762" w:rsidRDefault="00D25762">
      <w:pPr>
        <w:pStyle w:val="TOC4"/>
        <w:tabs>
          <w:tab w:val="right" w:leader="dot" w:pos="5030"/>
        </w:tabs>
        <w:rPr>
          <w:rFonts w:eastAsiaTheme="minorEastAsia"/>
          <w:smallCaps w:val="0"/>
          <w:noProof/>
          <w:sz w:val="22"/>
          <w:lang w:val="en-US" w:eastAsia="en-US" w:bidi="ar-SA"/>
        </w:rPr>
      </w:pPr>
      <w:hyperlink w:anchor="_Toc65680403" w:history="1">
        <w:r w:rsidRPr="0029141E">
          <w:rPr>
            <w:rStyle w:val="Hyperlink"/>
            <w:noProof/>
            <w:lang w:eastAsia="en-US"/>
          </w:rPr>
          <w:t>Exchange Online Protection</w:t>
        </w:r>
        <w:r>
          <w:rPr>
            <w:noProof/>
            <w:webHidden/>
          </w:rPr>
          <w:tab/>
        </w:r>
        <w:r>
          <w:rPr>
            <w:noProof/>
            <w:webHidden/>
          </w:rPr>
          <w:fldChar w:fldCharType="begin"/>
        </w:r>
        <w:r>
          <w:rPr>
            <w:noProof/>
            <w:webHidden/>
          </w:rPr>
          <w:instrText xml:space="preserve"> PAGEREF _Toc65680403 \h </w:instrText>
        </w:r>
        <w:r>
          <w:rPr>
            <w:noProof/>
            <w:webHidden/>
          </w:rPr>
        </w:r>
        <w:r>
          <w:rPr>
            <w:noProof/>
            <w:webHidden/>
          </w:rPr>
          <w:fldChar w:fldCharType="separate"/>
        </w:r>
        <w:r>
          <w:rPr>
            <w:noProof/>
            <w:webHidden/>
          </w:rPr>
          <w:t>11</w:t>
        </w:r>
        <w:r>
          <w:rPr>
            <w:noProof/>
            <w:webHidden/>
          </w:rPr>
          <w:fldChar w:fldCharType="end"/>
        </w:r>
      </w:hyperlink>
    </w:p>
    <w:p w14:paraId="416B51BE" w14:textId="1581010B" w:rsidR="00D25762" w:rsidRDefault="00D25762">
      <w:pPr>
        <w:pStyle w:val="TOC4"/>
        <w:tabs>
          <w:tab w:val="right" w:leader="dot" w:pos="5030"/>
        </w:tabs>
        <w:rPr>
          <w:rFonts w:eastAsiaTheme="minorEastAsia"/>
          <w:smallCaps w:val="0"/>
          <w:noProof/>
          <w:sz w:val="22"/>
          <w:lang w:val="en-US" w:eastAsia="en-US" w:bidi="ar-SA"/>
        </w:rPr>
      </w:pPr>
      <w:hyperlink w:anchor="_Toc65680404" w:history="1">
        <w:r w:rsidRPr="0029141E">
          <w:rPr>
            <w:rStyle w:val="Hyperlink"/>
            <w:noProof/>
          </w:rPr>
          <w:t>Microsoft MyAnalytics</w:t>
        </w:r>
        <w:r>
          <w:rPr>
            <w:noProof/>
            <w:webHidden/>
          </w:rPr>
          <w:tab/>
        </w:r>
        <w:r>
          <w:rPr>
            <w:noProof/>
            <w:webHidden/>
          </w:rPr>
          <w:fldChar w:fldCharType="begin"/>
        </w:r>
        <w:r>
          <w:rPr>
            <w:noProof/>
            <w:webHidden/>
          </w:rPr>
          <w:instrText xml:space="preserve"> PAGEREF _Toc65680404 \h </w:instrText>
        </w:r>
        <w:r>
          <w:rPr>
            <w:noProof/>
            <w:webHidden/>
          </w:rPr>
        </w:r>
        <w:r>
          <w:rPr>
            <w:noProof/>
            <w:webHidden/>
          </w:rPr>
          <w:fldChar w:fldCharType="separate"/>
        </w:r>
        <w:r>
          <w:rPr>
            <w:noProof/>
            <w:webHidden/>
          </w:rPr>
          <w:t>11</w:t>
        </w:r>
        <w:r>
          <w:rPr>
            <w:noProof/>
            <w:webHidden/>
          </w:rPr>
          <w:fldChar w:fldCharType="end"/>
        </w:r>
      </w:hyperlink>
    </w:p>
    <w:p w14:paraId="4D2BB0A7" w14:textId="1C17E650" w:rsidR="00D25762" w:rsidRDefault="00D25762">
      <w:pPr>
        <w:pStyle w:val="TOC4"/>
        <w:tabs>
          <w:tab w:val="right" w:leader="dot" w:pos="5030"/>
        </w:tabs>
        <w:rPr>
          <w:rFonts w:eastAsiaTheme="minorEastAsia"/>
          <w:smallCaps w:val="0"/>
          <w:noProof/>
          <w:sz w:val="22"/>
          <w:lang w:val="en-US" w:eastAsia="en-US" w:bidi="ar-SA"/>
        </w:rPr>
      </w:pPr>
      <w:hyperlink w:anchor="_Toc65680405" w:history="1">
        <w:r w:rsidRPr="0029141E">
          <w:rPr>
            <w:rStyle w:val="Hyperlink"/>
            <w:noProof/>
          </w:rPr>
          <w:t>Microsoft Stream</w:t>
        </w:r>
        <w:r>
          <w:rPr>
            <w:noProof/>
            <w:webHidden/>
          </w:rPr>
          <w:tab/>
        </w:r>
        <w:r>
          <w:rPr>
            <w:noProof/>
            <w:webHidden/>
          </w:rPr>
          <w:fldChar w:fldCharType="begin"/>
        </w:r>
        <w:r>
          <w:rPr>
            <w:noProof/>
            <w:webHidden/>
          </w:rPr>
          <w:instrText xml:space="preserve"> PAGEREF _Toc65680405 \h </w:instrText>
        </w:r>
        <w:r>
          <w:rPr>
            <w:noProof/>
            <w:webHidden/>
          </w:rPr>
        </w:r>
        <w:r>
          <w:rPr>
            <w:noProof/>
            <w:webHidden/>
          </w:rPr>
          <w:fldChar w:fldCharType="separate"/>
        </w:r>
        <w:r>
          <w:rPr>
            <w:noProof/>
            <w:webHidden/>
          </w:rPr>
          <w:t>12</w:t>
        </w:r>
        <w:r>
          <w:rPr>
            <w:noProof/>
            <w:webHidden/>
          </w:rPr>
          <w:fldChar w:fldCharType="end"/>
        </w:r>
      </w:hyperlink>
    </w:p>
    <w:p w14:paraId="2024CD36" w14:textId="00E631A8" w:rsidR="00D25762" w:rsidRDefault="00D25762">
      <w:pPr>
        <w:pStyle w:val="TOC4"/>
        <w:tabs>
          <w:tab w:val="right" w:leader="dot" w:pos="5030"/>
        </w:tabs>
        <w:rPr>
          <w:rFonts w:eastAsiaTheme="minorEastAsia"/>
          <w:smallCaps w:val="0"/>
          <w:noProof/>
          <w:sz w:val="22"/>
          <w:lang w:val="en-US" w:eastAsia="en-US" w:bidi="ar-SA"/>
        </w:rPr>
      </w:pPr>
      <w:hyperlink w:anchor="_Toc65680406" w:history="1">
        <w:r w:rsidRPr="0029141E">
          <w:rPr>
            <w:rStyle w:val="Hyperlink"/>
            <w:noProof/>
          </w:rPr>
          <w:t>Microsoft Teams</w:t>
        </w:r>
        <w:r>
          <w:rPr>
            <w:noProof/>
            <w:webHidden/>
          </w:rPr>
          <w:tab/>
        </w:r>
        <w:r>
          <w:rPr>
            <w:noProof/>
            <w:webHidden/>
          </w:rPr>
          <w:fldChar w:fldCharType="begin"/>
        </w:r>
        <w:r>
          <w:rPr>
            <w:noProof/>
            <w:webHidden/>
          </w:rPr>
          <w:instrText xml:space="preserve"> PAGEREF _Toc65680406 \h </w:instrText>
        </w:r>
        <w:r>
          <w:rPr>
            <w:noProof/>
            <w:webHidden/>
          </w:rPr>
        </w:r>
        <w:r>
          <w:rPr>
            <w:noProof/>
            <w:webHidden/>
          </w:rPr>
          <w:fldChar w:fldCharType="separate"/>
        </w:r>
        <w:r>
          <w:rPr>
            <w:noProof/>
            <w:webHidden/>
          </w:rPr>
          <w:t>12</w:t>
        </w:r>
        <w:r>
          <w:rPr>
            <w:noProof/>
            <w:webHidden/>
          </w:rPr>
          <w:fldChar w:fldCharType="end"/>
        </w:r>
      </w:hyperlink>
    </w:p>
    <w:p w14:paraId="3EE16297" w14:textId="5F6641F0" w:rsidR="00D25762" w:rsidRDefault="00D25762">
      <w:pPr>
        <w:pStyle w:val="TOC4"/>
        <w:tabs>
          <w:tab w:val="right" w:leader="dot" w:pos="5030"/>
        </w:tabs>
        <w:rPr>
          <w:rFonts w:eastAsiaTheme="minorEastAsia"/>
          <w:smallCaps w:val="0"/>
          <w:noProof/>
          <w:sz w:val="22"/>
          <w:lang w:val="en-US" w:eastAsia="en-US" w:bidi="ar-SA"/>
        </w:rPr>
      </w:pPr>
      <w:hyperlink w:anchor="_Toc65680407" w:history="1">
        <w:r w:rsidRPr="0029141E">
          <w:rPr>
            <w:rStyle w:val="Hyperlink"/>
            <w:noProof/>
          </w:rPr>
          <w:t>Microsoft 365 Apps for business</w:t>
        </w:r>
        <w:r>
          <w:rPr>
            <w:noProof/>
            <w:webHidden/>
          </w:rPr>
          <w:tab/>
        </w:r>
        <w:r>
          <w:rPr>
            <w:noProof/>
            <w:webHidden/>
          </w:rPr>
          <w:fldChar w:fldCharType="begin"/>
        </w:r>
        <w:r>
          <w:rPr>
            <w:noProof/>
            <w:webHidden/>
          </w:rPr>
          <w:instrText xml:space="preserve"> PAGEREF _Toc65680407 \h </w:instrText>
        </w:r>
        <w:r>
          <w:rPr>
            <w:noProof/>
            <w:webHidden/>
          </w:rPr>
        </w:r>
        <w:r>
          <w:rPr>
            <w:noProof/>
            <w:webHidden/>
          </w:rPr>
          <w:fldChar w:fldCharType="separate"/>
        </w:r>
        <w:r>
          <w:rPr>
            <w:noProof/>
            <w:webHidden/>
          </w:rPr>
          <w:t>13</w:t>
        </w:r>
        <w:r>
          <w:rPr>
            <w:noProof/>
            <w:webHidden/>
          </w:rPr>
          <w:fldChar w:fldCharType="end"/>
        </w:r>
      </w:hyperlink>
    </w:p>
    <w:p w14:paraId="679009C1" w14:textId="256382B0" w:rsidR="00D25762" w:rsidRDefault="00D25762">
      <w:pPr>
        <w:pStyle w:val="TOC4"/>
        <w:tabs>
          <w:tab w:val="right" w:leader="dot" w:pos="5030"/>
        </w:tabs>
        <w:rPr>
          <w:rFonts w:eastAsiaTheme="minorEastAsia"/>
          <w:smallCaps w:val="0"/>
          <w:noProof/>
          <w:sz w:val="22"/>
          <w:lang w:val="en-US" w:eastAsia="en-US" w:bidi="ar-SA"/>
        </w:rPr>
      </w:pPr>
      <w:hyperlink w:anchor="_Toc65680408" w:history="1">
        <w:r w:rsidRPr="0029141E">
          <w:rPr>
            <w:rStyle w:val="Hyperlink"/>
            <w:noProof/>
          </w:rPr>
          <w:t>Microsoft 365 Apps for enterprise</w:t>
        </w:r>
        <w:r>
          <w:rPr>
            <w:noProof/>
            <w:webHidden/>
          </w:rPr>
          <w:tab/>
        </w:r>
        <w:r>
          <w:rPr>
            <w:noProof/>
            <w:webHidden/>
          </w:rPr>
          <w:fldChar w:fldCharType="begin"/>
        </w:r>
        <w:r>
          <w:rPr>
            <w:noProof/>
            <w:webHidden/>
          </w:rPr>
          <w:instrText xml:space="preserve"> PAGEREF _Toc65680408 \h </w:instrText>
        </w:r>
        <w:r>
          <w:rPr>
            <w:noProof/>
            <w:webHidden/>
          </w:rPr>
        </w:r>
        <w:r>
          <w:rPr>
            <w:noProof/>
            <w:webHidden/>
          </w:rPr>
          <w:fldChar w:fldCharType="separate"/>
        </w:r>
        <w:r>
          <w:rPr>
            <w:noProof/>
            <w:webHidden/>
          </w:rPr>
          <w:t>13</w:t>
        </w:r>
        <w:r>
          <w:rPr>
            <w:noProof/>
            <w:webHidden/>
          </w:rPr>
          <w:fldChar w:fldCharType="end"/>
        </w:r>
      </w:hyperlink>
    </w:p>
    <w:p w14:paraId="1BD31538" w14:textId="3638E494" w:rsidR="00D25762" w:rsidRDefault="00D25762">
      <w:pPr>
        <w:pStyle w:val="TOC4"/>
        <w:tabs>
          <w:tab w:val="right" w:leader="dot" w:pos="5030"/>
        </w:tabs>
        <w:rPr>
          <w:rFonts w:eastAsiaTheme="minorEastAsia"/>
          <w:smallCaps w:val="0"/>
          <w:noProof/>
          <w:sz w:val="22"/>
          <w:lang w:val="en-US" w:eastAsia="en-US" w:bidi="ar-SA"/>
        </w:rPr>
      </w:pPr>
      <w:hyperlink w:anchor="_Toc65680409" w:history="1">
        <w:r w:rsidRPr="0029141E">
          <w:rPr>
            <w:rStyle w:val="Hyperlink"/>
            <w:noProof/>
          </w:rPr>
          <w:t>Conformité avancée Office 365</w:t>
        </w:r>
        <w:r>
          <w:rPr>
            <w:noProof/>
            <w:webHidden/>
          </w:rPr>
          <w:tab/>
        </w:r>
        <w:r>
          <w:rPr>
            <w:noProof/>
            <w:webHidden/>
          </w:rPr>
          <w:fldChar w:fldCharType="begin"/>
        </w:r>
        <w:r>
          <w:rPr>
            <w:noProof/>
            <w:webHidden/>
          </w:rPr>
          <w:instrText xml:space="preserve"> PAGEREF _Toc65680409 \h </w:instrText>
        </w:r>
        <w:r>
          <w:rPr>
            <w:noProof/>
            <w:webHidden/>
          </w:rPr>
        </w:r>
        <w:r>
          <w:rPr>
            <w:noProof/>
            <w:webHidden/>
          </w:rPr>
          <w:fldChar w:fldCharType="separate"/>
        </w:r>
        <w:r>
          <w:rPr>
            <w:noProof/>
            <w:webHidden/>
          </w:rPr>
          <w:t>13</w:t>
        </w:r>
        <w:r>
          <w:rPr>
            <w:noProof/>
            <w:webHidden/>
          </w:rPr>
          <w:fldChar w:fldCharType="end"/>
        </w:r>
      </w:hyperlink>
    </w:p>
    <w:p w14:paraId="0BE1D299" w14:textId="512D1D74" w:rsidR="00D25762" w:rsidRDefault="00D25762">
      <w:pPr>
        <w:pStyle w:val="TOC4"/>
        <w:tabs>
          <w:tab w:val="right" w:leader="dot" w:pos="5030"/>
        </w:tabs>
        <w:rPr>
          <w:rFonts w:eastAsiaTheme="minorEastAsia"/>
          <w:smallCaps w:val="0"/>
          <w:noProof/>
          <w:sz w:val="22"/>
          <w:lang w:val="en-US" w:eastAsia="en-US" w:bidi="ar-SA"/>
        </w:rPr>
      </w:pPr>
      <w:hyperlink w:anchor="_Toc65680410" w:history="1">
        <w:r w:rsidRPr="0029141E">
          <w:rPr>
            <w:rStyle w:val="Hyperlink"/>
            <w:noProof/>
            <w:lang w:val="en-US" w:eastAsia="en-US"/>
          </w:rPr>
          <w:t>Office Online</w:t>
        </w:r>
        <w:r>
          <w:rPr>
            <w:noProof/>
            <w:webHidden/>
          </w:rPr>
          <w:tab/>
        </w:r>
        <w:r>
          <w:rPr>
            <w:noProof/>
            <w:webHidden/>
          </w:rPr>
          <w:fldChar w:fldCharType="begin"/>
        </w:r>
        <w:r>
          <w:rPr>
            <w:noProof/>
            <w:webHidden/>
          </w:rPr>
          <w:instrText xml:space="preserve"> PAGEREF _Toc65680410 \h </w:instrText>
        </w:r>
        <w:r>
          <w:rPr>
            <w:noProof/>
            <w:webHidden/>
          </w:rPr>
        </w:r>
        <w:r>
          <w:rPr>
            <w:noProof/>
            <w:webHidden/>
          </w:rPr>
          <w:fldChar w:fldCharType="separate"/>
        </w:r>
        <w:r>
          <w:rPr>
            <w:noProof/>
            <w:webHidden/>
          </w:rPr>
          <w:t>14</w:t>
        </w:r>
        <w:r>
          <w:rPr>
            <w:noProof/>
            <w:webHidden/>
          </w:rPr>
          <w:fldChar w:fldCharType="end"/>
        </w:r>
      </w:hyperlink>
    </w:p>
    <w:p w14:paraId="7158F578" w14:textId="61C369E3" w:rsidR="00D25762" w:rsidRDefault="00D25762">
      <w:pPr>
        <w:pStyle w:val="TOC4"/>
        <w:tabs>
          <w:tab w:val="right" w:leader="dot" w:pos="5030"/>
        </w:tabs>
        <w:rPr>
          <w:rFonts w:eastAsiaTheme="minorEastAsia"/>
          <w:smallCaps w:val="0"/>
          <w:noProof/>
          <w:sz w:val="22"/>
          <w:lang w:val="en-US" w:eastAsia="en-US" w:bidi="ar-SA"/>
        </w:rPr>
      </w:pPr>
      <w:hyperlink w:anchor="_Toc65680411" w:history="1">
        <w:r w:rsidRPr="0029141E">
          <w:rPr>
            <w:rStyle w:val="Hyperlink"/>
            <w:noProof/>
            <w:lang w:val="en-US" w:eastAsia="en-US"/>
          </w:rPr>
          <w:t>Office 365 Video</w:t>
        </w:r>
        <w:r>
          <w:rPr>
            <w:noProof/>
            <w:webHidden/>
          </w:rPr>
          <w:tab/>
        </w:r>
        <w:r>
          <w:rPr>
            <w:noProof/>
            <w:webHidden/>
          </w:rPr>
          <w:fldChar w:fldCharType="begin"/>
        </w:r>
        <w:r>
          <w:rPr>
            <w:noProof/>
            <w:webHidden/>
          </w:rPr>
          <w:instrText xml:space="preserve"> PAGEREF _Toc65680411 \h </w:instrText>
        </w:r>
        <w:r>
          <w:rPr>
            <w:noProof/>
            <w:webHidden/>
          </w:rPr>
        </w:r>
        <w:r>
          <w:rPr>
            <w:noProof/>
            <w:webHidden/>
          </w:rPr>
          <w:fldChar w:fldCharType="separate"/>
        </w:r>
        <w:r>
          <w:rPr>
            <w:noProof/>
            <w:webHidden/>
          </w:rPr>
          <w:t>14</w:t>
        </w:r>
        <w:r>
          <w:rPr>
            <w:noProof/>
            <w:webHidden/>
          </w:rPr>
          <w:fldChar w:fldCharType="end"/>
        </w:r>
      </w:hyperlink>
    </w:p>
    <w:p w14:paraId="7CCDFE24" w14:textId="0A281F52" w:rsidR="00D25762" w:rsidRDefault="00D25762">
      <w:pPr>
        <w:pStyle w:val="TOC4"/>
        <w:tabs>
          <w:tab w:val="right" w:leader="dot" w:pos="5030"/>
        </w:tabs>
        <w:rPr>
          <w:rFonts w:eastAsiaTheme="minorEastAsia"/>
          <w:smallCaps w:val="0"/>
          <w:noProof/>
          <w:sz w:val="22"/>
          <w:lang w:val="en-US" w:eastAsia="en-US" w:bidi="ar-SA"/>
        </w:rPr>
      </w:pPr>
      <w:hyperlink w:anchor="_Toc65680412" w:history="1">
        <w:r w:rsidRPr="0029141E">
          <w:rPr>
            <w:rStyle w:val="Hyperlink"/>
            <w:noProof/>
            <w:lang w:val="en-US" w:eastAsia="en-US"/>
          </w:rPr>
          <w:t>OneDrive Entreprise</w:t>
        </w:r>
        <w:r>
          <w:rPr>
            <w:noProof/>
            <w:webHidden/>
          </w:rPr>
          <w:tab/>
        </w:r>
        <w:r>
          <w:rPr>
            <w:noProof/>
            <w:webHidden/>
          </w:rPr>
          <w:fldChar w:fldCharType="begin"/>
        </w:r>
        <w:r>
          <w:rPr>
            <w:noProof/>
            <w:webHidden/>
          </w:rPr>
          <w:instrText xml:space="preserve"> PAGEREF _Toc65680412 \h </w:instrText>
        </w:r>
        <w:r>
          <w:rPr>
            <w:noProof/>
            <w:webHidden/>
          </w:rPr>
        </w:r>
        <w:r>
          <w:rPr>
            <w:noProof/>
            <w:webHidden/>
          </w:rPr>
          <w:fldChar w:fldCharType="separate"/>
        </w:r>
        <w:r>
          <w:rPr>
            <w:noProof/>
            <w:webHidden/>
          </w:rPr>
          <w:t>15</w:t>
        </w:r>
        <w:r>
          <w:rPr>
            <w:noProof/>
            <w:webHidden/>
          </w:rPr>
          <w:fldChar w:fldCharType="end"/>
        </w:r>
      </w:hyperlink>
    </w:p>
    <w:p w14:paraId="059BAD88" w14:textId="46E5ED5E" w:rsidR="00D25762" w:rsidRDefault="00D25762">
      <w:pPr>
        <w:pStyle w:val="TOC4"/>
        <w:tabs>
          <w:tab w:val="right" w:leader="dot" w:pos="5030"/>
        </w:tabs>
        <w:rPr>
          <w:rFonts w:eastAsiaTheme="minorEastAsia"/>
          <w:smallCaps w:val="0"/>
          <w:noProof/>
          <w:sz w:val="22"/>
          <w:lang w:val="en-US" w:eastAsia="en-US" w:bidi="ar-SA"/>
        </w:rPr>
      </w:pPr>
      <w:hyperlink w:anchor="_Toc65680413" w:history="1">
        <w:r w:rsidRPr="0029141E">
          <w:rPr>
            <w:rStyle w:val="Hyperlink"/>
            <w:noProof/>
            <w:lang w:eastAsia="en-US"/>
          </w:rPr>
          <w:t>Project</w:t>
        </w:r>
        <w:r>
          <w:rPr>
            <w:noProof/>
            <w:webHidden/>
          </w:rPr>
          <w:tab/>
        </w:r>
        <w:r>
          <w:rPr>
            <w:noProof/>
            <w:webHidden/>
          </w:rPr>
          <w:fldChar w:fldCharType="begin"/>
        </w:r>
        <w:r>
          <w:rPr>
            <w:noProof/>
            <w:webHidden/>
          </w:rPr>
          <w:instrText xml:space="preserve"> PAGEREF _Toc65680413 \h </w:instrText>
        </w:r>
        <w:r>
          <w:rPr>
            <w:noProof/>
            <w:webHidden/>
          </w:rPr>
        </w:r>
        <w:r>
          <w:rPr>
            <w:noProof/>
            <w:webHidden/>
          </w:rPr>
          <w:fldChar w:fldCharType="separate"/>
        </w:r>
        <w:r>
          <w:rPr>
            <w:noProof/>
            <w:webHidden/>
          </w:rPr>
          <w:t>15</w:t>
        </w:r>
        <w:r>
          <w:rPr>
            <w:noProof/>
            <w:webHidden/>
          </w:rPr>
          <w:fldChar w:fldCharType="end"/>
        </w:r>
      </w:hyperlink>
    </w:p>
    <w:p w14:paraId="405CF706" w14:textId="2D351781" w:rsidR="00D25762" w:rsidRDefault="00D25762">
      <w:pPr>
        <w:pStyle w:val="TOC4"/>
        <w:tabs>
          <w:tab w:val="right" w:leader="dot" w:pos="5030"/>
        </w:tabs>
        <w:rPr>
          <w:rFonts w:eastAsiaTheme="minorEastAsia"/>
          <w:smallCaps w:val="0"/>
          <w:noProof/>
          <w:sz w:val="22"/>
          <w:lang w:val="en-US" w:eastAsia="en-US" w:bidi="ar-SA"/>
        </w:rPr>
      </w:pPr>
      <w:hyperlink w:anchor="_Toc65680414" w:history="1">
        <w:r w:rsidRPr="0029141E">
          <w:rPr>
            <w:rStyle w:val="Hyperlink"/>
            <w:noProof/>
            <w:lang w:val="en-US" w:eastAsia="en-US"/>
          </w:rPr>
          <w:t>SharePoint Online</w:t>
        </w:r>
        <w:r>
          <w:rPr>
            <w:noProof/>
            <w:webHidden/>
          </w:rPr>
          <w:tab/>
        </w:r>
        <w:r>
          <w:rPr>
            <w:noProof/>
            <w:webHidden/>
          </w:rPr>
          <w:fldChar w:fldCharType="begin"/>
        </w:r>
        <w:r>
          <w:rPr>
            <w:noProof/>
            <w:webHidden/>
          </w:rPr>
          <w:instrText xml:space="preserve"> PAGEREF _Toc65680414 \h </w:instrText>
        </w:r>
        <w:r>
          <w:rPr>
            <w:noProof/>
            <w:webHidden/>
          </w:rPr>
        </w:r>
        <w:r>
          <w:rPr>
            <w:noProof/>
            <w:webHidden/>
          </w:rPr>
          <w:fldChar w:fldCharType="separate"/>
        </w:r>
        <w:r>
          <w:rPr>
            <w:noProof/>
            <w:webHidden/>
          </w:rPr>
          <w:t>15</w:t>
        </w:r>
        <w:r>
          <w:rPr>
            <w:noProof/>
            <w:webHidden/>
          </w:rPr>
          <w:fldChar w:fldCharType="end"/>
        </w:r>
      </w:hyperlink>
    </w:p>
    <w:p w14:paraId="497D78FF" w14:textId="582E8721" w:rsidR="00D25762" w:rsidRDefault="00D25762">
      <w:pPr>
        <w:pStyle w:val="TOC4"/>
        <w:tabs>
          <w:tab w:val="right" w:leader="dot" w:pos="5030"/>
        </w:tabs>
        <w:rPr>
          <w:rFonts w:eastAsiaTheme="minorEastAsia"/>
          <w:smallCaps w:val="0"/>
          <w:noProof/>
          <w:sz w:val="22"/>
          <w:lang w:val="en-US" w:eastAsia="en-US" w:bidi="ar-SA"/>
        </w:rPr>
      </w:pPr>
      <w:hyperlink w:anchor="_Toc65680415" w:history="1">
        <w:r w:rsidRPr="0029141E">
          <w:rPr>
            <w:rStyle w:val="Hyperlink"/>
            <w:noProof/>
            <w:lang w:eastAsia="en-US"/>
          </w:rPr>
          <w:t>Skype Entreprise Online</w:t>
        </w:r>
        <w:r>
          <w:rPr>
            <w:noProof/>
            <w:webHidden/>
          </w:rPr>
          <w:tab/>
        </w:r>
        <w:r>
          <w:rPr>
            <w:noProof/>
            <w:webHidden/>
          </w:rPr>
          <w:fldChar w:fldCharType="begin"/>
        </w:r>
        <w:r>
          <w:rPr>
            <w:noProof/>
            <w:webHidden/>
          </w:rPr>
          <w:instrText xml:space="preserve"> PAGEREF _Toc65680415 \h </w:instrText>
        </w:r>
        <w:r>
          <w:rPr>
            <w:noProof/>
            <w:webHidden/>
          </w:rPr>
        </w:r>
        <w:r>
          <w:rPr>
            <w:noProof/>
            <w:webHidden/>
          </w:rPr>
          <w:fldChar w:fldCharType="separate"/>
        </w:r>
        <w:r>
          <w:rPr>
            <w:noProof/>
            <w:webHidden/>
          </w:rPr>
          <w:t>16</w:t>
        </w:r>
        <w:r>
          <w:rPr>
            <w:noProof/>
            <w:webHidden/>
          </w:rPr>
          <w:fldChar w:fldCharType="end"/>
        </w:r>
      </w:hyperlink>
    </w:p>
    <w:p w14:paraId="6D97A3FA" w14:textId="56A92EA1" w:rsidR="00D25762" w:rsidRDefault="00D25762">
      <w:pPr>
        <w:pStyle w:val="TOC4"/>
        <w:tabs>
          <w:tab w:val="right" w:leader="dot" w:pos="5030"/>
        </w:tabs>
        <w:rPr>
          <w:rFonts w:eastAsiaTheme="minorEastAsia"/>
          <w:smallCaps w:val="0"/>
          <w:noProof/>
          <w:sz w:val="22"/>
          <w:lang w:val="en-US" w:eastAsia="en-US" w:bidi="ar-SA"/>
        </w:rPr>
      </w:pPr>
      <w:hyperlink w:anchor="_Toc65680416" w:history="1">
        <w:r w:rsidRPr="0029141E">
          <w:rPr>
            <w:rStyle w:val="Hyperlink"/>
            <w:noProof/>
          </w:rPr>
          <w:t>Microsoft Teams – Forfaits d'Appels et Audioconférence</w:t>
        </w:r>
        <w:r>
          <w:rPr>
            <w:noProof/>
            <w:webHidden/>
          </w:rPr>
          <w:tab/>
        </w:r>
        <w:r>
          <w:rPr>
            <w:noProof/>
            <w:webHidden/>
          </w:rPr>
          <w:fldChar w:fldCharType="begin"/>
        </w:r>
        <w:r>
          <w:rPr>
            <w:noProof/>
            <w:webHidden/>
          </w:rPr>
          <w:instrText xml:space="preserve"> PAGEREF _Toc65680416 \h </w:instrText>
        </w:r>
        <w:r>
          <w:rPr>
            <w:noProof/>
            <w:webHidden/>
          </w:rPr>
        </w:r>
        <w:r>
          <w:rPr>
            <w:noProof/>
            <w:webHidden/>
          </w:rPr>
          <w:fldChar w:fldCharType="separate"/>
        </w:r>
        <w:r>
          <w:rPr>
            <w:noProof/>
            <w:webHidden/>
          </w:rPr>
          <w:t>16</w:t>
        </w:r>
        <w:r>
          <w:rPr>
            <w:noProof/>
            <w:webHidden/>
          </w:rPr>
          <w:fldChar w:fldCharType="end"/>
        </w:r>
      </w:hyperlink>
    </w:p>
    <w:p w14:paraId="6D7AA9C0" w14:textId="25C6459A" w:rsidR="00D25762" w:rsidRDefault="00D25762">
      <w:pPr>
        <w:pStyle w:val="TOC4"/>
        <w:tabs>
          <w:tab w:val="right" w:leader="dot" w:pos="5030"/>
        </w:tabs>
        <w:rPr>
          <w:rFonts w:eastAsiaTheme="minorEastAsia"/>
          <w:smallCaps w:val="0"/>
          <w:noProof/>
          <w:sz w:val="22"/>
          <w:lang w:val="en-US" w:eastAsia="en-US" w:bidi="ar-SA"/>
        </w:rPr>
      </w:pPr>
      <w:hyperlink w:anchor="_Toc65680417" w:history="1">
        <w:r w:rsidRPr="0029141E">
          <w:rPr>
            <w:rStyle w:val="Hyperlink"/>
            <w:noProof/>
          </w:rPr>
          <w:t>Microsoft Teams – Qualité vocale</w:t>
        </w:r>
        <w:r>
          <w:rPr>
            <w:noProof/>
            <w:webHidden/>
          </w:rPr>
          <w:tab/>
        </w:r>
        <w:r>
          <w:rPr>
            <w:noProof/>
            <w:webHidden/>
          </w:rPr>
          <w:fldChar w:fldCharType="begin"/>
        </w:r>
        <w:r>
          <w:rPr>
            <w:noProof/>
            <w:webHidden/>
          </w:rPr>
          <w:instrText xml:space="preserve"> PAGEREF _Toc65680417 \h </w:instrText>
        </w:r>
        <w:r>
          <w:rPr>
            <w:noProof/>
            <w:webHidden/>
          </w:rPr>
        </w:r>
        <w:r>
          <w:rPr>
            <w:noProof/>
            <w:webHidden/>
          </w:rPr>
          <w:fldChar w:fldCharType="separate"/>
        </w:r>
        <w:r>
          <w:rPr>
            <w:noProof/>
            <w:webHidden/>
          </w:rPr>
          <w:t>16</w:t>
        </w:r>
        <w:r>
          <w:rPr>
            <w:noProof/>
            <w:webHidden/>
          </w:rPr>
          <w:fldChar w:fldCharType="end"/>
        </w:r>
      </w:hyperlink>
    </w:p>
    <w:p w14:paraId="15CF1560" w14:textId="304F37C6" w:rsidR="00D25762" w:rsidRDefault="00D25762">
      <w:pPr>
        <w:pStyle w:val="TOC4"/>
        <w:tabs>
          <w:tab w:val="right" w:leader="dot" w:pos="5030"/>
        </w:tabs>
        <w:rPr>
          <w:rFonts w:eastAsiaTheme="minorEastAsia"/>
          <w:smallCaps w:val="0"/>
          <w:noProof/>
          <w:sz w:val="22"/>
          <w:lang w:val="en-US" w:eastAsia="en-US" w:bidi="ar-SA"/>
        </w:rPr>
      </w:pPr>
      <w:hyperlink w:anchor="_Toc65680418" w:history="1">
        <w:r w:rsidRPr="0029141E">
          <w:rPr>
            <w:rStyle w:val="Hyperlink"/>
            <w:noProof/>
          </w:rPr>
          <w:t>Workplace Analytics</w:t>
        </w:r>
        <w:r>
          <w:rPr>
            <w:noProof/>
            <w:webHidden/>
          </w:rPr>
          <w:tab/>
        </w:r>
        <w:r>
          <w:rPr>
            <w:noProof/>
            <w:webHidden/>
          </w:rPr>
          <w:fldChar w:fldCharType="begin"/>
        </w:r>
        <w:r>
          <w:rPr>
            <w:noProof/>
            <w:webHidden/>
          </w:rPr>
          <w:instrText xml:space="preserve"> PAGEREF _Toc65680418 \h </w:instrText>
        </w:r>
        <w:r>
          <w:rPr>
            <w:noProof/>
            <w:webHidden/>
          </w:rPr>
        </w:r>
        <w:r>
          <w:rPr>
            <w:noProof/>
            <w:webHidden/>
          </w:rPr>
          <w:fldChar w:fldCharType="separate"/>
        </w:r>
        <w:r>
          <w:rPr>
            <w:noProof/>
            <w:webHidden/>
          </w:rPr>
          <w:t>17</w:t>
        </w:r>
        <w:r>
          <w:rPr>
            <w:noProof/>
            <w:webHidden/>
          </w:rPr>
          <w:fldChar w:fldCharType="end"/>
        </w:r>
      </w:hyperlink>
    </w:p>
    <w:p w14:paraId="4473C9A2" w14:textId="6A6CBAC1" w:rsidR="00D25762" w:rsidRDefault="00D25762">
      <w:pPr>
        <w:pStyle w:val="TOC4"/>
        <w:tabs>
          <w:tab w:val="right" w:leader="dot" w:pos="5030"/>
        </w:tabs>
        <w:rPr>
          <w:rFonts w:eastAsiaTheme="minorEastAsia"/>
          <w:smallCaps w:val="0"/>
          <w:noProof/>
          <w:sz w:val="22"/>
          <w:lang w:val="en-US" w:eastAsia="en-US" w:bidi="ar-SA"/>
        </w:rPr>
      </w:pPr>
      <w:hyperlink w:anchor="_Toc65680419" w:history="1">
        <w:r w:rsidRPr="0029141E">
          <w:rPr>
            <w:rStyle w:val="Hyperlink"/>
            <w:noProof/>
            <w:lang w:eastAsia="en-US"/>
          </w:rPr>
          <w:t>Yammer Enterprise</w:t>
        </w:r>
        <w:r>
          <w:rPr>
            <w:noProof/>
            <w:webHidden/>
          </w:rPr>
          <w:tab/>
        </w:r>
        <w:r>
          <w:rPr>
            <w:noProof/>
            <w:webHidden/>
          </w:rPr>
          <w:fldChar w:fldCharType="begin"/>
        </w:r>
        <w:r>
          <w:rPr>
            <w:noProof/>
            <w:webHidden/>
          </w:rPr>
          <w:instrText xml:space="preserve"> PAGEREF _Toc65680419 \h </w:instrText>
        </w:r>
        <w:r>
          <w:rPr>
            <w:noProof/>
            <w:webHidden/>
          </w:rPr>
        </w:r>
        <w:r>
          <w:rPr>
            <w:noProof/>
            <w:webHidden/>
          </w:rPr>
          <w:fldChar w:fldCharType="separate"/>
        </w:r>
        <w:r>
          <w:rPr>
            <w:noProof/>
            <w:webHidden/>
          </w:rPr>
          <w:t>17</w:t>
        </w:r>
        <w:r>
          <w:rPr>
            <w:noProof/>
            <w:webHidden/>
          </w:rPr>
          <w:fldChar w:fldCharType="end"/>
        </w:r>
      </w:hyperlink>
    </w:p>
    <w:p w14:paraId="290B29D0" w14:textId="30E48A9E" w:rsidR="00D25762" w:rsidRDefault="00D25762">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65680420" w:history="1">
        <w:r w:rsidRPr="0029141E">
          <w:rPr>
            <w:rStyle w:val="Hyperlink"/>
            <w:noProof/>
          </w:rPr>
          <w:t>Microsoft Azure Services et Azure Plans</w:t>
        </w:r>
        <w:r>
          <w:rPr>
            <w:noProof/>
            <w:webHidden/>
          </w:rPr>
          <w:tab/>
        </w:r>
        <w:r>
          <w:rPr>
            <w:noProof/>
            <w:webHidden/>
          </w:rPr>
          <w:fldChar w:fldCharType="begin"/>
        </w:r>
        <w:r>
          <w:rPr>
            <w:noProof/>
            <w:webHidden/>
          </w:rPr>
          <w:instrText xml:space="preserve"> PAGEREF _Toc65680420 \h </w:instrText>
        </w:r>
        <w:r>
          <w:rPr>
            <w:noProof/>
            <w:webHidden/>
          </w:rPr>
        </w:r>
        <w:r>
          <w:rPr>
            <w:noProof/>
            <w:webHidden/>
          </w:rPr>
          <w:fldChar w:fldCharType="separate"/>
        </w:r>
        <w:r>
          <w:rPr>
            <w:noProof/>
            <w:webHidden/>
          </w:rPr>
          <w:t>18</w:t>
        </w:r>
        <w:r>
          <w:rPr>
            <w:noProof/>
            <w:webHidden/>
          </w:rPr>
          <w:fldChar w:fldCharType="end"/>
        </w:r>
      </w:hyperlink>
    </w:p>
    <w:p w14:paraId="2C4FE1DC" w14:textId="77696A28" w:rsidR="00D25762" w:rsidRDefault="00D25762">
      <w:pPr>
        <w:pStyle w:val="TOC2"/>
        <w:tabs>
          <w:tab w:val="right" w:leader="dot" w:pos="5030"/>
        </w:tabs>
        <w:rPr>
          <w:rFonts w:eastAsiaTheme="minorEastAsia"/>
          <w:b w:val="0"/>
          <w:smallCaps w:val="0"/>
          <w:noProof/>
          <w:sz w:val="22"/>
          <w:lang w:val="en-US" w:eastAsia="en-US" w:bidi="ar-SA"/>
        </w:rPr>
      </w:pPr>
      <w:hyperlink w:anchor="_Toc65680421" w:history="1">
        <w:r w:rsidRPr="0029141E">
          <w:rPr>
            <w:rStyle w:val="Hyperlink"/>
            <w:noProof/>
            <w:lang w:val="en-US" w:eastAsia="en-US"/>
          </w:rPr>
          <w:t>Autres services en ligne</w:t>
        </w:r>
        <w:r>
          <w:rPr>
            <w:noProof/>
            <w:webHidden/>
          </w:rPr>
          <w:tab/>
        </w:r>
        <w:r>
          <w:rPr>
            <w:noProof/>
            <w:webHidden/>
          </w:rPr>
          <w:fldChar w:fldCharType="begin"/>
        </w:r>
        <w:r>
          <w:rPr>
            <w:noProof/>
            <w:webHidden/>
          </w:rPr>
          <w:instrText xml:space="preserve"> PAGEREF _Toc65680421 \h </w:instrText>
        </w:r>
        <w:r>
          <w:rPr>
            <w:noProof/>
            <w:webHidden/>
          </w:rPr>
        </w:r>
        <w:r>
          <w:rPr>
            <w:noProof/>
            <w:webHidden/>
          </w:rPr>
          <w:fldChar w:fldCharType="separate"/>
        </w:r>
        <w:r>
          <w:rPr>
            <w:noProof/>
            <w:webHidden/>
          </w:rPr>
          <w:t>18</w:t>
        </w:r>
        <w:r>
          <w:rPr>
            <w:noProof/>
            <w:webHidden/>
          </w:rPr>
          <w:fldChar w:fldCharType="end"/>
        </w:r>
      </w:hyperlink>
    </w:p>
    <w:p w14:paraId="0F9891D6" w14:textId="4CD869A5" w:rsidR="00D25762" w:rsidRDefault="00D25762">
      <w:pPr>
        <w:pStyle w:val="TOC4"/>
        <w:tabs>
          <w:tab w:val="right" w:leader="dot" w:pos="5030"/>
        </w:tabs>
        <w:rPr>
          <w:rFonts w:eastAsiaTheme="minorEastAsia"/>
          <w:smallCaps w:val="0"/>
          <w:noProof/>
          <w:sz w:val="22"/>
          <w:lang w:val="en-US" w:eastAsia="en-US" w:bidi="ar-SA"/>
        </w:rPr>
      </w:pPr>
      <w:hyperlink w:anchor="_Toc65680422" w:history="1">
        <w:r w:rsidRPr="0029141E">
          <w:rPr>
            <w:rStyle w:val="Hyperlink"/>
            <w:noProof/>
            <w:lang w:val="en-US" w:eastAsia="en-US"/>
          </w:rPr>
          <w:t>Bing Maps Plateforme Entreprise</w:t>
        </w:r>
        <w:r>
          <w:rPr>
            <w:noProof/>
            <w:webHidden/>
          </w:rPr>
          <w:tab/>
        </w:r>
        <w:r>
          <w:rPr>
            <w:noProof/>
            <w:webHidden/>
          </w:rPr>
          <w:fldChar w:fldCharType="begin"/>
        </w:r>
        <w:r>
          <w:rPr>
            <w:noProof/>
            <w:webHidden/>
          </w:rPr>
          <w:instrText xml:space="preserve"> PAGEREF _Toc65680422 \h </w:instrText>
        </w:r>
        <w:r>
          <w:rPr>
            <w:noProof/>
            <w:webHidden/>
          </w:rPr>
        </w:r>
        <w:r>
          <w:rPr>
            <w:noProof/>
            <w:webHidden/>
          </w:rPr>
          <w:fldChar w:fldCharType="separate"/>
        </w:r>
        <w:r>
          <w:rPr>
            <w:noProof/>
            <w:webHidden/>
          </w:rPr>
          <w:t>18</w:t>
        </w:r>
        <w:r>
          <w:rPr>
            <w:noProof/>
            <w:webHidden/>
          </w:rPr>
          <w:fldChar w:fldCharType="end"/>
        </w:r>
      </w:hyperlink>
    </w:p>
    <w:p w14:paraId="6B1F7B35" w14:textId="45C92B00" w:rsidR="00D25762" w:rsidRDefault="00D25762">
      <w:pPr>
        <w:pStyle w:val="TOC4"/>
        <w:tabs>
          <w:tab w:val="right" w:leader="dot" w:pos="5030"/>
        </w:tabs>
        <w:rPr>
          <w:rFonts w:eastAsiaTheme="minorEastAsia"/>
          <w:smallCaps w:val="0"/>
          <w:noProof/>
          <w:sz w:val="22"/>
          <w:lang w:val="en-US" w:eastAsia="en-US" w:bidi="ar-SA"/>
        </w:rPr>
      </w:pPr>
      <w:hyperlink w:anchor="_Toc65680423" w:history="1">
        <w:r w:rsidRPr="0029141E">
          <w:rPr>
            <w:rStyle w:val="Hyperlink"/>
            <w:noProof/>
            <w:lang w:eastAsia="en-US"/>
          </w:rPr>
          <w:t>Bing Maps Gestion des ressources mobiles</w:t>
        </w:r>
        <w:r>
          <w:rPr>
            <w:noProof/>
            <w:webHidden/>
          </w:rPr>
          <w:tab/>
        </w:r>
        <w:r>
          <w:rPr>
            <w:noProof/>
            <w:webHidden/>
          </w:rPr>
          <w:fldChar w:fldCharType="begin"/>
        </w:r>
        <w:r>
          <w:rPr>
            <w:noProof/>
            <w:webHidden/>
          </w:rPr>
          <w:instrText xml:space="preserve"> PAGEREF _Toc65680423 \h </w:instrText>
        </w:r>
        <w:r>
          <w:rPr>
            <w:noProof/>
            <w:webHidden/>
          </w:rPr>
        </w:r>
        <w:r>
          <w:rPr>
            <w:noProof/>
            <w:webHidden/>
          </w:rPr>
          <w:fldChar w:fldCharType="separate"/>
        </w:r>
        <w:r>
          <w:rPr>
            <w:noProof/>
            <w:webHidden/>
          </w:rPr>
          <w:t>19</w:t>
        </w:r>
        <w:r>
          <w:rPr>
            <w:noProof/>
            <w:webHidden/>
          </w:rPr>
          <w:fldChar w:fldCharType="end"/>
        </w:r>
      </w:hyperlink>
    </w:p>
    <w:p w14:paraId="31C6907F" w14:textId="19A10CCC" w:rsidR="00D25762" w:rsidRDefault="00D25762">
      <w:pPr>
        <w:pStyle w:val="TOC4"/>
        <w:tabs>
          <w:tab w:val="right" w:leader="dot" w:pos="5030"/>
        </w:tabs>
        <w:rPr>
          <w:rFonts w:eastAsiaTheme="minorEastAsia"/>
          <w:smallCaps w:val="0"/>
          <w:noProof/>
          <w:sz w:val="22"/>
          <w:lang w:val="en-US" w:eastAsia="en-US" w:bidi="ar-SA"/>
        </w:rPr>
      </w:pPr>
      <w:hyperlink w:anchor="_Toc65680424" w:history="1">
        <w:r w:rsidRPr="0029141E">
          <w:rPr>
            <w:rStyle w:val="Hyperlink"/>
            <w:noProof/>
          </w:rPr>
          <w:t>Application de sécurité de Microsoft Cloud</w:t>
        </w:r>
        <w:r>
          <w:rPr>
            <w:noProof/>
            <w:webHidden/>
          </w:rPr>
          <w:tab/>
        </w:r>
        <w:r>
          <w:rPr>
            <w:noProof/>
            <w:webHidden/>
          </w:rPr>
          <w:fldChar w:fldCharType="begin"/>
        </w:r>
        <w:r>
          <w:rPr>
            <w:noProof/>
            <w:webHidden/>
          </w:rPr>
          <w:instrText xml:space="preserve"> PAGEREF _Toc65680424 \h </w:instrText>
        </w:r>
        <w:r>
          <w:rPr>
            <w:noProof/>
            <w:webHidden/>
          </w:rPr>
        </w:r>
        <w:r>
          <w:rPr>
            <w:noProof/>
            <w:webHidden/>
          </w:rPr>
          <w:fldChar w:fldCharType="separate"/>
        </w:r>
        <w:r>
          <w:rPr>
            <w:noProof/>
            <w:webHidden/>
          </w:rPr>
          <w:t>19</w:t>
        </w:r>
        <w:r>
          <w:rPr>
            <w:noProof/>
            <w:webHidden/>
          </w:rPr>
          <w:fldChar w:fldCharType="end"/>
        </w:r>
      </w:hyperlink>
    </w:p>
    <w:p w14:paraId="29A235E0" w14:textId="5CB10B0C" w:rsidR="00D25762" w:rsidRDefault="00D25762">
      <w:pPr>
        <w:pStyle w:val="TOC4"/>
        <w:tabs>
          <w:tab w:val="right" w:leader="dot" w:pos="5030"/>
        </w:tabs>
        <w:rPr>
          <w:rFonts w:eastAsiaTheme="minorEastAsia"/>
          <w:smallCaps w:val="0"/>
          <w:noProof/>
          <w:sz w:val="22"/>
          <w:lang w:val="en-US" w:eastAsia="en-US" w:bidi="ar-SA"/>
        </w:rPr>
      </w:pPr>
      <w:hyperlink w:anchor="_Toc65680425" w:history="1">
        <w:r w:rsidRPr="0029141E">
          <w:rPr>
            <w:rStyle w:val="Hyperlink"/>
            <w:noProof/>
          </w:rPr>
          <w:t>Microsoft Power Automate</w:t>
        </w:r>
        <w:r>
          <w:rPr>
            <w:noProof/>
            <w:webHidden/>
          </w:rPr>
          <w:tab/>
        </w:r>
        <w:r>
          <w:rPr>
            <w:noProof/>
            <w:webHidden/>
          </w:rPr>
          <w:fldChar w:fldCharType="begin"/>
        </w:r>
        <w:r>
          <w:rPr>
            <w:noProof/>
            <w:webHidden/>
          </w:rPr>
          <w:instrText xml:space="preserve"> PAGEREF _Toc65680425 \h </w:instrText>
        </w:r>
        <w:r>
          <w:rPr>
            <w:noProof/>
            <w:webHidden/>
          </w:rPr>
        </w:r>
        <w:r>
          <w:rPr>
            <w:noProof/>
            <w:webHidden/>
          </w:rPr>
          <w:fldChar w:fldCharType="separate"/>
        </w:r>
        <w:r>
          <w:rPr>
            <w:noProof/>
            <w:webHidden/>
          </w:rPr>
          <w:t>20</w:t>
        </w:r>
        <w:r>
          <w:rPr>
            <w:noProof/>
            <w:webHidden/>
          </w:rPr>
          <w:fldChar w:fldCharType="end"/>
        </w:r>
      </w:hyperlink>
    </w:p>
    <w:p w14:paraId="4EF98EC4" w14:textId="430E5A54" w:rsidR="00D25762" w:rsidRDefault="00D25762">
      <w:pPr>
        <w:pStyle w:val="TOC4"/>
        <w:tabs>
          <w:tab w:val="right" w:leader="dot" w:pos="5030"/>
        </w:tabs>
        <w:rPr>
          <w:rFonts w:eastAsiaTheme="minorEastAsia"/>
          <w:smallCaps w:val="0"/>
          <w:noProof/>
          <w:sz w:val="22"/>
          <w:lang w:val="en-US" w:eastAsia="en-US" w:bidi="ar-SA"/>
        </w:rPr>
      </w:pPr>
      <w:hyperlink w:anchor="_Toc65680426" w:history="1">
        <w:r w:rsidRPr="0029141E">
          <w:rPr>
            <w:rStyle w:val="Hyperlink"/>
            <w:noProof/>
          </w:rPr>
          <w:t>Microsoft Intune</w:t>
        </w:r>
        <w:r>
          <w:rPr>
            <w:noProof/>
            <w:webHidden/>
          </w:rPr>
          <w:tab/>
        </w:r>
        <w:r>
          <w:rPr>
            <w:noProof/>
            <w:webHidden/>
          </w:rPr>
          <w:fldChar w:fldCharType="begin"/>
        </w:r>
        <w:r>
          <w:rPr>
            <w:noProof/>
            <w:webHidden/>
          </w:rPr>
          <w:instrText xml:space="preserve"> PAGEREF _Toc65680426 \h </w:instrText>
        </w:r>
        <w:r>
          <w:rPr>
            <w:noProof/>
            <w:webHidden/>
          </w:rPr>
        </w:r>
        <w:r>
          <w:rPr>
            <w:noProof/>
            <w:webHidden/>
          </w:rPr>
          <w:fldChar w:fldCharType="separate"/>
        </w:r>
        <w:r>
          <w:rPr>
            <w:noProof/>
            <w:webHidden/>
          </w:rPr>
          <w:t>20</w:t>
        </w:r>
        <w:r>
          <w:rPr>
            <w:noProof/>
            <w:webHidden/>
          </w:rPr>
          <w:fldChar w:fldCharType="end"/>
        </w:r>
      </w:hyperlink>
    </w:p>
    <w:p w14:paraId="56E6DE7A" w14:textId="4B571E97" w:rsidR="00D25762" w:rsidRDefault="00D25762">
      <w:pPr>
        <w:pStyle w:val="TOC4"/>
        <w:tabs>
          <w:tab w:val="right" w:leader="dot" w:pos="5030"/>
        </w:tabs>
        <w:rPr>
          <w:rFonts w:eastAsiaTheme="minorEastAsia"/>
          <w:smallCaps w:val="0"/>
          <w:noProof/>
          <w:sz w:val="22"/>
          <w:lang w:val="en-US" w:eastAsia="en-US" w:bidi="ar-SA"/>
        </w:rPr>
      </w:pPr>
      <w:hyperlink w:anchor="_Toc65680427" w:history="1">
        <w:r w:rsidRPr="0029141E">
          <w:rPr>
            <w:rStyle w:val="Hyperlink"/>
            <w:noProof/>
          </w:rPr>
          <w:t>Microsoft Kaizala Pro</w:t>
        </w:r>
        <w:r>
          <w:rPr>
            <w:noProof/>
            <w:webHidden/>
          </w:rPr>
          <w:tab/>
        </w:r>
        <w:r>
          <w:rPr>
            <w:noProof/>
            <w:webHidden/>
          </w:rPr>
          <w:fldChar w:fldCharType="begin"/>
        </w:r>
        <w:r>
          <w:rPr>
            <w:noProof/>
            <w:webHidden/>
          </w:rPr>
          <w:instrText xml:space="preserve"> PAGEREF _Toc65680427 \h </w:instrText>
        </w:r>
        <w:r>
          <w:rPr>
            <w:noProof/>
            <w:webHidden/>
          </w:rPr>
        </w:r>
        <w:r>
          <w:rPr>
            <w:noProof/>
            <w:webHidden/>
          </w:rPr>
          <w:fldChar w:fldCharType="separate"/>
        </w:r>
        <w:r>
          <w:rPr>
            <w:noProof/>
            <w:webHidden/>
          </w:rPr>
          <w:t>20</w:t>
        </w:r>
        <w:r>
          <w:rPr>
            <w:noProof/>
            <w:webHidden/>
          </w:rPr>
          <w:fldChar w:fldCharType="end"/>
        </w:r>
      </w:hyperlink>
    </w:p>
    <w:p w14:paraId="71F1D006" w14:textId="36BF5081" w:rsidR="00D25762" w:rsidRDefault="00D25762">
      <w:pPr>
        <w:pStyle w:val="TOC4"/>
        <w:tabs>
          <w:tab w:val="right" w:leader="dot" w:pos="5030"/>
        </w:tabs>
        <w:rPr>
          <w:rFonts w:eastAsiaTheme="minorEastAsia"/>
          <w:smallCaps w:val="0"/>
          <w:noProof/>
          <w:sz w:val="22"/>
          <w:lang w:val="en-US" w:eastAsia="en-US" w:bidi="ar-SA"/>
        </w:rPr>
      </w:pPr>
      <w:hyperlink w:anchor="_Toc65680428" w:history="1">
        <w:r w:rsidRPr="0029141E">
          <w:rPr>
            <w:rStyle w:val="Hyperlink"/>
            <w:noProof/>
          </w:rPr>
          <w:t>Microsoft Power Apps</w:t>
        </w:r>
        <w:r>
          <w:rPr>
            <w:noProof/>
            <w:webHidden/>
          </w:rPr>
          <w:tab/>
        </w:r>
        <w:r>
          <w:rPr>
            <w:noProof/>
            <w:webHidden/>
          </w:rPr>
          <w:fldChar w:fldCharType="begin"/>
        </w:r>
        <w:r>
          <w:rPr>
            <w:noProof/>
            <w:webHidden/>
          </w:rPr>
          <w:instrText xml:space="preserve"> PAGEREF _Toc65680428 \h </w:instrText>
        </w:r>
        <w:r>
          <w:rPr>
            <w:noProof/>
            <w:webHidden/>
          </w:rPr>
        </w:r>
        <w:r>
          <w:rPr>
            <w:noProof/>
            <w:webHidden/>
          </w:rPr>
          <w:fldChar w:fldCharType="separate"/>
        </w:r>
        <w:r>
          <w:rPr>
            <w:noProof/>
            <w:webHidden/>
          </w:rPr>
          <w:t>21</w:t>
        </w:r>
        <w:r>
          <w:rPr>
            <w:noProof/>
            <w:webHidden/>
          </w:rPr>
          <w:fldChar w:fldCharType="end"/>
        </w:r>
      </w:hyperlink>
    </w:p>
    <w:p w14:paraId="64C670FC" w14:textId="30E8EE68" w:rsidR="00D25762" w:rsidRDefault="00D25762">
      <w:pPr>
        <w:pStyle w:val="TOC4"/>
        <w:tabs>
          <w:tab w:val="right" w:leader="dot" w:pos="5030"/>
        </w:tabs>
        <w:rPr>
          <w:rFonts w:eastAsiaTheme="minorEastAsia"/>
          <w:smallCaps w:val="0"/>
          <w:noProof/>
          <w:sz w:val="22"/>
          <w:lang w:val="en-US" w:eastAsia="en-US" w:bidi="ar-SA"/>
        </w:rPr>
      </w:pPr>
      <w:hyperlink w:anchor="_Toc65680429" w:history="1">
        <w:r w:rsidRPr="0029141E">
          <w:rPr>
            <w:rStyle w:val="Hyperlink"/>
            <w:noProof/>
          </w:rPr>
          <w:t>Minecraft : Education Edition</w:t>
        </w:r>
        <w:r>
          <w:rPr>
            <w:noProof/>
            <w:webHidden/>
          </w:rPr>
          <w:tab/>
        </w:r>
        <w:r>
          <w:rPr>
            <w:noProof/>
            <w:webHidden/>
          </w:rPr>
          <w:fldChar w:fldCharType="begin"/>
        </w:r>
        <w:r>
          <w:rPr>
            <w:noProof/>
            <w:webHidden/>
          </w:rPr>
          <w:instrText xml:space="preserve"> PAGEREF _Toc65680429 \h </w:instrText>
        </w:r>
        <w:r>
          <w:rPr>
            <w:noProof/>
            <w:webHidden/>
          </w:rPr>
        </w:r>
        <w:r>
          <w:rPr>
            <w:noProof/>
            <w:webHidden/>
          </w:rPr>
          <w:fldChar w:fldCharType="separate"/>
        </w:r>
        <w:r>
          <w:rPr>
            <w:noProof/>
            <w:webHidden/>
          </w:rPr>
          <w:t>21</w:t>
        </w:r>
        <w:r>
          <w:rPr>
            <w:noProof/>
            <w:webHidden/>
          </w:rPr>
          <w:fldChar w:fldCharType="end"/>
        </w:r>
      </w:hyperlink>
    </w:p>
    <w:p w14:paraId="2BE968A9" w14:textId="583575D2" w:rsidR="00D25762" w:rsidRDefault="00D25762">
      <w:pPr>
        <w:pStyle w:val="TOC4"/>
        <w:tabs>
          <w:tab w:val="right" w:leader="dot" w:pos="5030"/>
        </w:tabs>
        <w:rPr>
          <w:rFonts w:eastAsiaTheme="minorEastAsia"/>
          <w:smallCaps w:val="0"/>
          <w:noProof/>
          <w:sz w:val="22"/>
          <w:lang w:val="en-US" w:eastAsia="en-US" w:bidi="ar-SA"/>
        </w:rPr>
      </w:pPr>
      <w:hyperlink w:anchor="_Toc65680430" w:history="1">
        <w:r w:rsidRPr="0029141E">
          <w:rPr>
            <w:rStyle w:val="Hyperlink"/>
            <w:noProof/>
          </w:rPr>
          <w:t>Power BI Embedded</w:t>
        </w:r>
        <w:r>
          <w:rPr>
            <w:noProof/>
            <w:webHidden/>
          </w:rPr>
          <w:tab/>
        </w:r>
        <w:r>
          <w:rPr>
            <w:noProof/>
            <w:webHidden/>
          </w:rPr>
          <w:fldChar w:fldCharType="begin"/>
        </w:r>
        <w:r>
          <w:rPr>
            <w:noProof/>
            <w:webHidden/>
          </w:rPr>
          <w:instrText xml:space="preserve"> PAGEREF _Toc65680430 \h </w:instrText>
        </w:r>
        <w:r>
          <w:rPr>
            <w:noProof/>
            <w:webHidden/>
          </w:rPr>
        </w:r>
        <w:r>
          <w:rPr>
            <w:noProof/>
            <w:webHidden/>
          </w:rPr>
          <w:fldChar w:fldCharType="separate"/>
        </w:r>
        <w:r>
          <w:rPr>
            <w:noProof/>
            <w:webHidden/>
          </w:rPr>
          <w:t>22</w:t>
        </w:r>
        <w:r>
          <w:rPr>
            <w:noProof/>
            <w:webHidden/>
          </w:rPr>
          <w:fldChar w:fldCharType="end"/>
        </w:r>
      </w:hyperlink>
    </w:p>
    <w:p w14:paraId="3460F190" w14:textId="6E44A234" w:rsidR="00D25762" w:rsidRDefault="00D25762">
      <w:pPr>
        <w:pStyle w:val="TOC4"/>
        <w:tabs>
          <w:tab w:val="right" w:leader="dot" w:pos="5030"/>
        </w:tabs>
        <w:rPr>
          <w:rFonts w:eastAsiaTheme="minorEastAsia"/>
          <w:smallCaps w:val="0"/>
          <w:noProof/>
          <w:sz w:val="22"/>
          <w:lang w:val="en-US" w:eastAsia="en-US" w:bidi="ar-SA"/>
        </w:rPr>
      </w:pPr>
      <w:hyperlink w:anchor="_Toc65680431" w:history="1">
        <w:r w:rsidRPr="0029141E">
          <w:rPr>
            <w:rStyle w:val="Hyperlink"/>
            <w:noProof/>
          </w:rPr>
          <w:t>Power BI Premium</w:t>
        </w:r>
        <w:r>
          <w:rPr>
            <w:noProof/>
            <w:webHidden/>
          </w:rPr>
          <w:tab/>
        </w:r>
        <w:r>
          <w:rPr>
            <w:noProof/>
            <w:webHidden/>
          </w:rPr>
          <w:fldChar w:fldCharType="begin"/>
        </w:r>
        <w:r>
          <w:rPr>
            <w:noProof/>
            <w:webHidden/>
          </w:rPr>
          <w:instrText xml:space="preserve"> PAGEREF _Toc65680431 \h </w:instrText>
        </w:r>
        <w:r>
          <w:rPr>
            <w:noProof/>
            <w:webHidden/>
          </w:rPr>
        </w:r>
        <w:r>
          <w:rPr>
            <w:noProof/>
            <w:webHidden/>
          </w:rPr>
          <w:fldChar w:fldCharType="separate"/>
        </w:r>
        <w:r>
          <w:rPr>
            <w:noProof/>
            <w:webHidden/>
          </w:rPr>
          <w:t>22</w:t>
        </w:r>
        <w:r>
          <w:rPr>
            <w:noProof/>
            <w:webHidden/>
          </w:rPr>
          <w:fldChar w:fldCharType="end"/>
        </w:r>
      </w:hyperlink>
    </w:p>
    <w:p w14:paraId="061FF6CF" w14:textId="644C2E2D" w:rsidR="00D25762" w:rsidRDefault="00D25762">
      <w:pPr>
        <w:pStyle w:val="TOC4"/>
        <w:tabs>
          <w:tab w:val="right" w:leader="dot" w:pos="5030"/>
        </w:tabs>
        <w:rPr>
          <w:rFonts w:eastAsiaTheme="minorEastAsia"/>
          <w:smallCaps w:val="0"/>
          <w:noProof/>
          <w:sz w:val="22"/>
          <w:lang w:val="en-US" w:eastAsia="en-US" w:bidi="ar-SA"/>
        </w:rPr>
      </w:pPr>
      <w:hyperlink w:anchor="_Toc65680432" w:history="1">
        <w:r w:rsidRPr="0029141E">
          <w:rPr>
            <w:rStyle w:val="Hyperlink"/>
            <w:noProof/>
            <w:lang w:eastAsia="en-US"/>
          </w:rPr>
          <w:t>Power BI Pro</w:t>
        </w:r>
        <w:r>
          <w:rPr>
            <w:noProof/>
            <w:webHidden/>
          </w:rPr>
          <w:tab/>
        </w:r>
        <w:r>
          <w:rPr>
            <w:noProof/>
            <w:webHidden/>
          </w:rPr>
          <w:fldChar w:fldCharType="begin"/>
        </w:r>
        <w:r>
          <w:rPr>
            <w:noProof/>
            <w:webHidden/>
          </w:rPr>
          <w:instrText xml:space="preserve"> PAGEREF _Toc65680432 \h </w:instrText>
        </w:r>
        <w:r>
          <w:rPr>
            <w:noProof/>
            <w:webHidden/>
          </w:rPr>
        </w:r>
        <w:r>
          <w:rPr>
            <w:noProof/>
            <w:webHidden/>
          </w:rPr>
          <w:fldChar w:fldCharType="separate"/>
        </w:r>
        <w:r>
          <w:rPr>
            <w:noProof/>
            <w:webHidden/>
          </w:rPr>
          <w:t>23</w:t>
        </w:r>
        <w:r>
          <w:rPr>
            <w:noProof/>
            <w:webHidden/>
          </w:rPr>
          <w:fldChar w:fldCharType="end"/>
        </w:r>
      </w:hyperlink>
    </w:p>
    <w:p w14:paraId="134C2058" w14:textId="570F1EB5" w:rsidR="00D25762" w:rsidRDefault="00D25762">
      <w:pPr>
        <w:pStyle w:val="TOC4"/>
        <w:tabs>
          <w:tab w:val="right" w:leader="dot" w:pos="5030"/>
        </w:tabs>
        <w:rPr>
          <w:rFonts w:eastAsiaTheme="minorEastAsia"/>
          <w:smallCaps w:val="0"/>
          <w:noProof/>
          <w:sz w:val="22"/>
          <w:lang w:val="en-US" w:eastAsia="en-US" w:bidi="ar-SA"/>
        </w:rPr>
      </w:pPr>
      <w:hyperlink w:anchor="_Toc65680433" w:history="1">
        <w:r w:rsidRPr="0029141E">
          <w:rPr>
            <w:rStyle w:val="Hyperlink"/>
            <w:noProof/>
            <w:lang w:val="en-US" w:eastAsia="en-US"/>
          </w:rPr>
          <w:t>API Translator</w:t>
        </w:r>
        <w:r>
          <w:rPr>
            <w:noProof/>
            <w:webHidden/>
          </w:rPr>
          <w:tab/>
        </w:r>
        <w:r>
          <w:rPr>
            <w:noProof/>
            <w:webHidden/>
          </w:rPr>
          <w:fldChar w:fldCharType="begin"/>
        </w:r>
        <w:r>
          <w:rPr>
            <w:noProof/>
            <w:webHidden/>
          </w:rPr>
          <w:instrText xml:space="preserve"> PAGEREF _Toc65680433 \h </w:instrText>
        </w:r>
        <w:r>
          <w:rPr>
            <w:noProof/>
            <w:webHidden/>
          </w:rPr>
        </w:r>
        <w:r>
          <w:rPr>
            <w:noProof/>
            <w:webHidden/>
          </w:rPr>
          <w:fldChar w:fldCharType="separate"/>
        </w:r>
        <w:r>
          <w:rPr>
            <w:noProof/>
            <w:webHidden/>
          </w:rPr>
          <w:t>23</w:t>
        </w:r>
        <w:r>
          <w:rPr>
            <w:noProof/>
            <w:webHidden/>
          </w:rPr>
          <w:fldChar w:fldCharType="end"/>
        </w:r>
      </w:hyperlink>
    </w:p>
    <w:p w14:paraId="6A818BD6" w14:textId="51B9750B" w:rsidR="00D25762" w:rsidRDefault="00D25762">
      <w:pPr>
        <w:pStyle w:val="TOC4"/>
        <w:tabs>
          <w:tab w:val="right" w:leader="dot" w:pos="5030"/>
        </w:tabs>
        <w:rPr>
          <w:rFonts w:eastAsiaTheme="minorEastAsia"/>
          <w:smallCaps w:val="0"/>
          <w:noProof/>
          <w:sz w:val="22"/>
          <w:lang w:val="en-US" w:eastAsia="en-US" w:bidi="ar-SA"/>
        </w:rPr>
      </w:pPr>
      <w:hyperlink w:anchor="_Toc65680434" w:history="1">
        <w:r w:rsidRPr="0029141E">
          <w:rPr>
            <w:rStyle w:val="Hyperlink"/>
            <w:noProof/>
            <w:lang w:val="en-US" w:eastAsia="en-US"/>
          </w:rPr>
          <w:t>Microsoft Defender pour point de terminaison</w:t>
        </w:r>
        <w:r>
          <w:rPr>
            <w:noProof/>
            <w:webHidden/>
          </w:rPr>
          <w:tab/>
        </w:r>
        <w:r>
          <w:rPr>
            <w:noProof/>
            <w:webHidden/>
          </w:rPr>
          <w:fldChar w:fldCharType="begin"/>
        </w:r>
        <w:r>
          <w:rPr>
            <w:noProof/>
            <w:webHidden/>
          </w:rPr>
          <w:instrText xml:space="preserve"> PAGEREF _Toc65680434 \h </w:instrText>
        </w:r>
        <w:r>
          <w:rPr>
            <w:noProof/>
            <w:webHidden/>
          </w:rPr>
        </w:r>
        <w:r>
          <w:rPr>
            <w:noProof/>
            <w:webHidden/>
          </w:rPr>
          <w:fldChar w:fldCharType="separate"/>
        </w:r>
        <w:r>
          <w:rPr>
            <w:noProof/>
            <w:webHidden/>
          </w:rPr>
          <w:t>23</w:t>
        </w:r>
        <w:r>
          <w:rPr>
            <w:noProof/>
            <w:webHidden/>
          </w:rPr>
          <w:fldChar w:fldCharType="end"/>
        </w:r>
      </w:hyperlink>
    </w:p>
    <w:p w14:paraId="06DE6F9B" w14:textId="7E5EEBA1" w:rsidR="00D25762" w:rsidRDefault="00D25762">
      <w:pPr>
        <w:pStyle w:val="TOC4"/>
        <w:tabs>
          <w:tab w:val="right" w:leader="dot" w:pos="5030"/>
        </w:tabs>
        <w:rPr>
          <w:rFonts w:eastAsiaTheme="minorEastAsia"/>
          <w:smallCaps w:val="0"/>
          <w:noProof/>
          <w:sz w:val="22"/>
          <w:lang w:val="en-US" w:eastAsia="en-US" w:bidi="ar-SA"/>
        </w:rPr>
      </w:pPr>
      <w:hyperlink w:anchor="_Toc65680435" w:history="1">
        <w:r w:rsidRPr="0029141E">
          <w:rPr>
            <w:rStyle w:val="Hyperlink"/>
            <w:noProof/>
          </w:rPr>
          <w:t>Universal Print (Impression universelle)</w:t>
        </w:r>
        <w:r>
          <w:rPr>
            <w:noProof/>
            <w:webHidden/>
          </w:rPr>
          <w:tab/>
        </w:r>
        <w:r>
          <w:rPr>
            <w:noProof/>
            <w:webHidden/>
          </w:rPr>
          <w:fldChar w:fldCharType="begin"/>
        </w:r>
        <w:r>
          <w:rPr>
            <w:noProof/>
            <w:webHidden/>
          </w:rPr>
          <w:instrText xml:space="preserve"> PAGEREF _Toc65680435 \h </w:instrText>
        </w:r>
        <w:r>
          <w:rPr>
            <w:noProof/>
            <w:webHidden/>
          </w:rPr>
        </w:r>
        <w:r>
          <w:rPr>
            <w:noProof/>
            <w:webHidden/>
          </w:rPr>
          <w:fldChar w:fldCharType="separate"/>
        </w:r>
        <w:r>
          <w:rPr>
            <w:noProof/>
            <w:webHidden/>
          </w:rPr>
          <w:t>24</w:t>
        </w:r>
        <w:r>
          <w:rPr>
            <w:noProof/>
            <w:webHidden/>
          </w:rPr>
          <w:fldChar w:fldCharType="end"/>
        </w:r>
      </w:hyperlink>
    </w:p>
    <w:p w14:paraId="1E6C3F23" w14:textId="1E6EA948" w:rsidR="00D25762" w:rsidRDefault="00D25762">
      <w:pPr>
        <w:pStyle w:val="TOC1"/>
        <w:tabs>
          <w:tab w:val="right" w:leader="dot" w:pos="5030"/>
        </w:tabs>
        <w:rPr>
          <w:rFonts w:eastAsiaTheme="minorEastAsia"/>
          <w:b w:val="0"/>
          <w:caps w:val="0"/>
          <w:noProof/>
          <w:sz w:val="22"/>
          <w:lang w:val="en-US" w:eastAsia="en-US" w:bidi="ar-SA"/>
        </w:rPr>
      </w:pPr>
      <w:hyperlink w:anchor="_Toc65680436" w:history="1">
        <w:r w:rsidRPr="0029141E">
          <w:rPr>
            <w:rStyle w:val="Hyperlink"/>
            <w:noProof/>
            <w:lang w:eastAsia="en-US"/>
          </w:rPr>
          <w:t>Annexe A – Engagement de Niveau de Service pour la Détection et le Blocage de Virus, l’Efficacité du Filtre de Courriers Indésirables ou les Faux Positifs</w:t>
        </w:r>
        <w:r>
          <w:rPr>
            <w:noProof/>
            <w:webHidden/>
          </w:rPr>
          <w:tab/>
        </w:r>
        <w:r>
          <w:rPr>
            <w:noProof/>
            <w:webHidden/>
          </w:rPr>
          <w:fldChar w:fldCharType="begin"/>
        </w:r>
        <w:r>
          <w:rPr>
            <w:noProof/>
            <w:webHidden/>
          </w:rPr>
          <w:instrText xml:space="preserve"> PAGEREF _Toc65680436 \h </w:instrText>
        </w:r>
        <w:r>
          <w:rPr>
            <w:noProof/>
            <w:webHidden/>
          </w:rPr>
        </w:r>
        <w:r>
          <w:rPr>
            <w:noProof/>
            <w:webHidden/>
          </w:rPr>
          <w:fldChar w:fldCharType="separate"/>
        </w:r>
        <w:r>
          <w:rPr>
            <w:noProof/>
            <w:webHidden/>
          </w:rPr>
          <w:t>25</w:t>
        </w:r>
        <w:r>
          <w:rPr>
            <w:noProof/>
            <w:webHidden/>
          </w:rPr>
          <w:fldChar w:fldCharType="end"/>
        </w:r>
      </w:hyperlink>
    </w:p>
    <w:p w14:paraId="39BEF38A" w14:textId="5A16479D" w:rsidR="00D25762" w:rsidRDefault="00D25762">
      <w:pPr>
        <w:pStyle w:val="TOC1"/>
        <w:tabs>
          <w:tab w:val="right" w:leader="dot" w:pos="5030"/>
        </w:tabs>
        <w:rPr>
          <w:rFonts w:eastAsiaTheme="minorEastAsia"/>
          <w:b w:val="0"/>
          <w:caps w:val="0"/>
          <w:noProof/>
          <w:sz w:val="22"/>
          <w:lang w:val="en-US" w:eastAsia="en-US" w:bidi="ar-SA"/>
        </w:rPr>
      </w:pPr>
      <w:hyperlink w:anchor="_Toc65680437" w:history="1">
        <w:r w:rsidRPr="0029141E">
          <w:rPr>
            <w:rStyle w:val="Hyperlink"/>
            <w:noProof/>
            <w:lang w:eastAsia="en-US"/>
          </w:rPr>
          <w:t>Annexe B – Engagement de Niveau de Service pour le Temps de Disponibilité et la Remise du Courrier Électronique</w:t>
        </w:r>
        <w:r>
          <w:rPr>
            <w:noProof/>
            <w:webHidden/>
          </w:rPr>
          <w:tab/>
        </w:r>
        <w:r>
          <w:rPr>
            <w:noProof/>
            <w:webHidden/>
          </w:rPr>
          <w:fldChar w:fldCharType="begin"/>
        </w:r>
        <w:r>
          <w:rPr>
            <w:noProof/>
            <w:webHidden/>
          </w:rPr>
          <w:instrText xml:space="preserve"> PAGEREF _Toc65680437 \h </w:instrText>
        </w:r>
        <w:r>
          <w:rPr>
            <w:noProof/>
            <w:webHidden/>
          </w:rPr>
        </w:r>
        <w:r>
          <w:rPr>
            <w:noProof/>
            <w:webHidden/>
          </w:rPr>
          <w:fldChar w:fldCharType="separate"/>
        </w:r>
        <w:r>
          <w:rPr>
            <w:noProof/>
            <w:webHidden/>
          </w:rPr>
          <w:t>27</w:t>
        </w:r>
        <w:r>
          <w:rPr>
            <w:noProof/>
            <w:webHidden/>
          </w:rPr>
          <w:fldChar w:fldCharType="end"/>
        </w:r>
      </w:hyperlink>
    </w:p>
    <w:p w14:paraId="3CA6B7A7" w14:textId="6D91B618" w:rsidR="00E03E25" w:rsidRDefault="00AD5C31" w:rsidP="007546C2">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rsidRPr="00467665">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65680386"/>
      <w:r>
        <w:lastRenderedPageBreak/>
        <w:t>Introduction</w:t>
      </w:r>
      <w:bookmarkEnd w:id="5"/>
    </w:p>
    <w:bookmarkEnd w:id="4"/>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w:t>
      </w:r>
      <w:r w:rsidRPr="00426103">
        <w:t>«</w:t>
      </w:r>
      <w:r>
        <w:t> SLA </w:t>
      </w:r>
      <w:r w:rsidRPr="00426103">
        <w:t>»</w:t>
      </w:r>
      <w:r>
        <w:t xml:space="preserve">) fait partie intégrante de votre contrat de licence en volume Microsoft (le </w:t>
      </w:r>
      <w:r w:rsidRPr="00426103">
        <w:t>«</w:t>
      </w:r>
      <w:r>
        <w:t> Contrat </w:t>
      </w:r>
      <w:r w:rsidRPr="00426103">
        <w:t>»</w:t>
      </w:r>
      <w:r>
        <w:t xml:space="preserve">).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w:t>
      </w:r>
      <w:r w:rsidRPr="00426103">
        <w:t>«</w:t>
      </w:r>
      <w:r>
        <w:t> Service </w:t>
      </w:r>
      <w:r w:rsidRPr="00426103">
        <w:t>»</w:t>
      </w:r>
      <w:r>
        <w:t xml:space="preserve"> ou les </w:t>
      </w:r>
      <w:r w:rsidRPr="00426103">
        <w:t>«</w:t>
      </w:r>
      <w:r>
        <w:t> Services </w:t>
      </w:r>
      <w:r w:rsidRPr="00426103">
        <w:t>»</w:t>
      </w:r>
      <w:r>
        <w:t xml:space="preserve">),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l’adresse </w:t>
      </w:r>
      <w:r w:rsidRPr="006E70DE">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1A0C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l’adresse </w:t>
      </w:r>
      <w:r w:rsidRPr="006E70DE">
        <w:t>:</w:t>
      </w:r>
      <w:r>
        <w:t xml:space="preserve"> </w:t>
      </w:r>
      <w:hyperlink r:id="rId15" w:history="1">
        <w:r>
          <w:rPr>
            <w:rStyle w:val="Hyperlink"/>
          </w:rPr>
          <w:t>http</w:t>
        </w:r>
        <w:r w:rsidRPr="001A0C46">
          <w:rPr>
            <w:rStyle w:val="Hyperlink"/>
          </w:rPr>
          <w:t>:</w:t>
        </w:r>
        <w:r>
          <w:rPr>
            <w:rStyle w:val="Hyperlink"/>
          </w:rPr>
          <w:t>//www.microsoftvolumelicensing.com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48838013" w14:textId="77777777" w:rsidR="003D7764" w:rsidRPr="0053132A" w:rsidRDefault="003D7764" w:rsidP="003D7764">
      <w:pPr>
        <w:pStyle w:val="ProductList-SubSection1Heading"/>
      </w:pPr>
      <w:bookmarkStart w:id="6" w:name="_Toc457812797"/>
      <w:bookmarkStart w:id="7" w:name="_Toc457821503"/>
      <w:r w:rsidRPr="0053132A">
        <w:t>Clarifications et synthèse des modifications apportées à ce Document</w:t>
      </w:r>
    </w:p>
    <w:bookmarkEnd w:id="6"/>
    <w:bookmarkEnd w:id="7"/>
    <w:p w14:paraId="7D21C4C7" w14:textId="77777777" w:rsidR="00220659" w:rsidRPr="00C64D1C" w:rsidRDefault="00220659" w:rsidP="00220659">
      <w:pPr>
        <w:pStyle w:val="ProductList-Body"/>
        <w:tabs>
          <w:tab w:val="clear" w:pos="360"/>
          <w:tab w:val="clear" w:pos="720"/>
          <w:tab w:val="clear" w:pos="1080"/>
        </w:tabs>
      </w:pPr>
      <w:r>
        <w:t>Sont identifiés ci-dessous les ajouts, suppressions et autres modifications récemment apportés au présent SLA. Vous trouverez également ci-dessous les clarifications sur la politique de Microsoft demandées par les clients.</w:t>
      </w:r>
    </w:p>
    <w:p w14:paraId="1386FACF" w14:textId="10C9E7BF" w:rsidR="00220659" w:rsidRDefault="00220659" w:rsidP="0022065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B30F6" w:rsidRPr="00571855" w14:paraId="6B8C6525" w14:textId="77777777" w:rsidTr="00821000">
        <w:trPr>
          <w:tblHeader/>
        </w:trPr>
        <w:tc>
          <w:tcPr>
            <w:tcW w:w="5395" w:type="dxa"/>
            <w:shd w:val="clear" w:color="auto" w:fill="0072C6"/>
          </w:tcPr>
          <w:p w14:paraId="58615398" w14:textId="77777777" w:rsidR="005B30F6" w:rsidRPr="006D4DC5" w:rsidRDefault="005B30F6" w:rsidP="00821000">
            <w:pPr>
              <w:pStyle w:val="ProductList-OfferingBody"/>
            </w:pPr>
            <w:r>
              <w:rPr>
                <w:color w:val="FFFFFF" w:themeColor="background1"/>
              </w:rPr>
              <w:t>Ajouts</w:t>
            </w:r>
          </w:p>
        </w:tc>
        <w:tc>
          <w:tcPr>
            <w:tcW w:w="5395" w:type="dxa"/>
            <w:shd w:val="clear" w:color="auto" w:fill="0072C6"/>
          </w:tcPr>
          <w:p w14:paraId="28D0C117" w14:textId="77777777" w:rsidR="005B30F6" w:rsidRPr="006D4DC5" w:rsidRDefault="005B30F6" w:rsidP="00821000">
            <w:pPr>
              <w:pStyle w:val="ProductList-OfferingBody"/>
            </w:pPr>
            <w:r>
              <w:rPr>
                <w:color w:val="FFFFFF" w:themeColor="background1"/>
              </w:rPr>
              <w:t>Suppressions</w:t>
            </w:r>
          </w:p>
        </w:tc>
      </w:tr>
      <w:tr w:rsidR="00FA095E" w:rsidRPr="003650D0" w14:paraId="78BA1EAE" w14:textId="77777777" w:rsidTr="00417C02">
        <w:trPr>
          <w:tblHeader/>
        </w:trPr>
        <w:tc>
          <w:tcPr>
            <w:tcW w:w="5395" w:type="dxa"/>
            <w:shd w:val="clear" w:color="auto" w:fill="auto"/>
          </w:tcPr>
          <w:p w14:paraId="39D689E4" w14:textId="77777777" w:rsidR="00FA095E" w:rsidRPr="006D4DC5" w:rsidRDefault="00FA095E" w:rsidP="00417C02">
            <w:pPr>
              <w:pStyle w:val="ProductList-OfferingBody"/>
              <w:rPr>
                <w:color w:val="000000" w:themeColor="text1"/>
              </w:rPr>
            </w:pPr>
            <w:r>
              <w:rPr>
                <w:color w:val="000000" w:themeColor="text1"/>
              </w:rPr>
              <w:t xml:space="preserve">Universal </w:t>
            </w:r>
            <w:proofErr w:type="spellStart"/>
            <w:r>
              <w:rPr>
                <w:color w:val="000000" w:themeColor="text1"/>
              </w:rPr>
              <w:t>Print</w:t>
            </w:r>
            <w:proofErr w:type="spellEnd"/>
            <w:r>
              <w:rPr>
                <w:color w:val="000000" w:themeColor="text1"/>
              </w:rPr>
              <w:t xml:space="preserve"> (Impression universelle)</w:t>
            </w:r>
          </w:p>
        </w:tc>
        <w:tc>
          <w:tcPr>
            <w:tcW w:w="5395" w:type="dxa"/>
            <w:shd w:val="clear" w:color="auto" w:fill="auto"/>
          </w:tcPr>
          <w:p w14:paraId="7674C518" w14:textId="77777777" w:rsidR="00FA095E" w:rsidRPr="006D4DC5" w:rsidRDefault="00FA095E" w:rsidP="00417C02">
            <w:pPr>
              <w:pStyle w:val="ProductList-OfferingBody"/>
              <w:rPr>
                <w:color w:val="000000" w:themeColor="text1"/>
              </w:rPr>
            </w:pPr>
            <w:r>
              <w:rPr>
                <w:color w:val="000000" w:themeColor="text1"/>
              </w:rPr>
              <w:t>Aucun</w:t>
            </w:r>
          </w:p>
        </w:tc>
      </w:tr>
    </w:tbl>
    <w:p w14:paraId="07E5C67D" w14:textId="77777777" w:rsidR="00DC0E21" w:rsidRPr="0059513D" w:rsidRDefault="00DC0E21" w:rsidP="00DC0E21">
      <w:pPr>
        <w:pStyle w:val="ProductList-Body"/>
      </w:pPr>
    </w:p>
    <w:p w14:paraId="6BDE0705" w14:textId="211FCF0C" w:rsidR="00CB6998" w:rsidRPr="00FB368F" w:rsidRDefault="0006534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CB6998">
          <w:rPr>
            <w:rStyle w:val="Hyperlink"/>
            <w:sz w:val="16"/>
            <w:szCs w:val="16"/>
          </w:rPr>
          <w:t>Table des matières</w:t>
        </w:r>
      </w:hyperlink>
      <w:r w:rsidR="00CB6998">
        <w:rPr>
          <w:sz w:val="16"/>
          <w:szCs w:val="16"/>
        </w:rPr>
        <w:t xml:space="preserve"> / </w:t>
      </w:r>
      <w:hyperlink w:anchor="Definitions" w:tooltip="Définitions" w:history="1">
        <w:r w:rsidR="00CB6998">
          <w:rPr>
            <w:rStyle w:val="Hyperlink"/>
            <w:sz w:val="16"/>
            <w:szCs w:val="16"/>
          </w:rPr>
          <w:t>Définitions</w:t>
        </w:r>
      </w:hyperlink>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Pr="002928A2" w:rsidRDefault="008E6785" w:rsidP="00106C29">
      <w:pPr>
        <w:rPr>
          <w:sz w:val="18"/>
          <w:szCs w:val="18"/>
        </w:rPr>
        <w:sectPr w:rsidR="008E6785" w:rsidRPr="002928A2"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8" w:name="GeneralTerms"/>
      <w:bookmarkStart w:id="9" w:name="_Toc65680387"/>
      <w:r w:rsidRPr="00013391">
        <w:rPr>
          <w:lang w:eastAsia="en-US" w:bidi="ar-SA"/>
        </w:rPr>
        <w:lastRenderedPageBreak/>
        <w:t>Conditions Générales</w:t>
      </w:r>
      <w:bookmarkEnd w:id="9"/>
    </w:p>
    <w:p w14:paraId="0BDF752D" w14:textId="5F0E96A9" w:rsidR="00045C64" w:rsidRPr="00013391" w:rsidRDefault="00E11454" w:rsidP="00BD240B">
      <w:pPr>
        <w:pStyle w:val="ProductList-SubSection1Heading"/>
        <w:rPr>
          <w:lang w:eastAsia="en-US" w:bidi="ar-SA"/>
        </w:rPr>
      </w:pPr>
      <w:bookmarkStart w:id="10" w:name="Definitions"/>
      <w:bookmarkEnd w:id="8"/>
      <w:r w:rsidRPr="00362FF7">
        <w:rPr>
          <w:lang w:eastAsia="en-US" w:bidi="ar-SA"/>
        </w:rPr>
        <w:t>Définitions</w:t>
      </w:r>
    </w:p>
    <w:bookmarkEnd w:id="10"/>
    <w:p w14:paraId="6464F94E" w14:textId="23E8890C" w:rsidR="001D1C2C" w:rsidRPr="00FB368F" w:rsidRDefault="00F575B8" w:rsidP="001D1C2C">
      <w:pPr>
        <w:pStyle w:val="ProductList-Body"/>
        <w:spacing w:after="40"/>
      </w:pPr>
      <w:r w:rsidRPr="00426103">
        <w:t>«</w:t>
      </w:r>
      <w:r>
        <w:rPr>
          <w:color w:val="000000" w:themeColor="text1"/>
        </w:rPr>
        <w:t> </w:t>
      </w:r>
      <w:r>
        <w:rPr>
          <w:b/>
          <w:color w:val="00188F"/>
        </w:rPr>
        <w:t>Période Mensuelle Applicable</w:t>
      </w:r>
      <w:r>
        <w:rPr>
          <w:color w:val="000000" w:themeColor="text1"/>
        </w:rPr>
        <w:t> </w:t>
      </w:r>
      <w:r w:rsidRPr="00426103">
        <w:t>»</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sidRPr="00426103">
        <w:t>«</w:t>
      </w:r>
      <w:r>
        <w:rPr>
          <w:color w:val="000000" w:themeColor="text1"/>
        </w:rPr>
        <w:t> </w:t>
      </w:r>
      <w:r>
        <w:rPr>
          <w:b/>
          <w:color w:val="00188F"/>
        </w:rPr>
        <w:t>Frais de Service Mensuels Applicables</w:t>
      </w:r>
      <w:r>
        <w:rPr>
          <w:color w:val="000000" w:themeColor="text1"/>
        </w:rPr>
        <w:t> </w:t>
      </w:r>
      <w:r w:rsidRPr="00426103">
        <w:t>»</w:t>
      </w:r>
      <w:r>
        <w:rPr>
          <w:color w:val="000000" w:themeColor="text1"/>
        </w:rPr>
        <w:t xml:space="preserve">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 xml:space="preserve">Le </w:t>
      </w:r>
      <w:r w:rsidRPr="00426103">
        <w:t>«</w:t>
      </w:r>
      <w:r>
        <w:rPr>
          <w:color w:val="000000" w:themeColor="text1"/>
        </w:rPr>
        <w:t> </w:t>
      </w:r>
      <w:r>
        <w:rPr>
          <w:b/>
          <w:color w:val="00188F"/>
        </w:rPr>
        <w:t>Temps d’Indisponibilité</w:t>
      </w:r>
      <w:r>
        <w:rPr>
          <w:color w:val="000000" w:themeColor="text1"/>
        </w:rPr>
        <w:t> </w:t>
      </w:r>
      <w:r w:rsidRPr="00426103">
        <w:t>»</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sidRPr="00426103">
        <w:t>«</w:t>
      </w:r>
      <w:r>
        <w:rPr>
          <w:color w:val="000000" w:themeColor="text1"/>
        </w:rPr>
        <w:t> </w:t>
      </w:r>
      <w:r>
        <w:rPr>
          <w:b/>
          <w:color w:val="00188F"/>
        </w:rPr>
        <w:t>Code d’Erreur</w:t>
      </w:r>
      <w:r>
        <w:rPr>
          <w:color w:val="000000" w:themeColor="text1"/>
        </w:rPr>
        <w:t> </w:t>
      </w:r>
      <w:r w:rsidRPr="00426103">
        <w:t>»</w:t>
      </w:r>
      <w:r>
        <w:t xml:space="preserve"> désigne une indication d’échec d’une opération, comme un code de statut HTTP commençant par </w:t>
      </w:r>
      <w:proofErr w:type="spellStart"/>
      <w:r>
        <w:t>5xx</w:t>
      </w:r>
      <w:proofErr w:type="spellEnd"/>
      <w:r>
        <w:t>.</w:t>
      </w:r>
    </w:p>
    <w:p w14:paraId="64D84186" w14:textId="5C7C065D" w:rsidR="001D1C2C" w:rsidRPr="00FB368F" w:rsidRDefault="00F575B8" w:rsidP="001D1C2C">
      <w:pPr>
        <w:pStyle w:val="ProductList-Body"/>
        <w:spacing w:after="40"/>
      </w:pPr>
      <w:r w:rsidRPr="00426103">
        <w:t>«</w:t>
      </w:r>
      <w:r>
        <w:rPr>
          <w:color w:val="000000" w:themeColor="text1"/>
        </w:rPr>
        <w:t> </w:t>
      </w:r>
      <w:r>
        <w:rPr>
          <w:b/>
          <w:color w:val="00188F"/>
        </w:rPr>
        <w:t>Connectivité Externe</w:t>
      </w:r>
      <w:r>
        <w:rPr>
          <w:color w:val="000000" w:themeColor="text1"/>
        </w:rPr>
        <w:t> </w:t>
      </w:r>
      <w:r w:rsidRPr="00426103">
        <w:t>»</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sidRPr="00426103">
        <w:t>«</w:t>
      </w:r>
      <w:r>
        <w:rPr>
          <w:color w:val="000000" w:themeColor="text1"/>
        </w:rPr>
        <w:t> </w:t>
      </w:r>
      <w:r>
        <w:rPr>
          <w:b/>
          <w:color w:val="00188F"/>
        </w:rPr>
        <w:t>Incident</w:t>
      </w:r>
      <w:r>
        <w:rPr>
          <w:color w:val="000000" w:themeColor="text1"/>
        </w:rPr>
        <w:t> </w:t>
      </w:r>
      <w:r w:rsidRPr="00426103">
        <w:t>»</w:t>
      </w:r>
      <w:r>
        <w:rPr>
          <w:color w:val="000000" w:themeColor="text1"/>
        </w:rPr>
        <w:t xml:space="preserve">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sidRPr="00426103">
        <w:t>«</w:t>
      </w:r>
      <w:r>
        <w:rPr>
          <w:color w:val="000000" w:themeColor="text1"/>
        </w:rPr>
        <w:t> </w:t>
      </w:r>
      <w:r>
        <w:rPr>
          <w:b/>
          <w:color w:val="00188F"/>
        </w:rPr>
        <w:t>Portail de Gestion</w:t>
      </w:r>
      <w:r>
        <w:rPr>
          <w:color w:val="000000" w:themeColor="text1"/>
        </w:rPr>
        <w:t> </w:t>
      </w:r>
      <w:r w:rsidRPr="00426103">
        <w:t>»</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sidRPr="00426103">
        <w:t>«</w:t>
      </w:r>
      <w:r>
        <w:rPr>
          <w:color w:val="000000" w:themeColor="text1"/>
        </w:rPr>
        <w:t> </w:t>
      </w:r>
      <w:r>
        <w:rPr>
          <w:b/>
          <w:color w:val="00188F"/>
        </w:rPr>
        <w:t>Temps d’Indisponibilité Planifié</w:t>
      </w:r>
      <w:r>
        <w:rPr>
          <w:color w:val="000000" w:themeColor="text1"/>
        </w:rPr>
        <w:t> </w:t>
      </w:r>
      <w:r w:rsidRPr="00426103">
        <w:t>»</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sidRPr="00426103">
        <w:t>«</w:t>
      </w:r>
      <w:r>
        <w:rPr>
          <w:color w:val="000000" w:themeColor="text1"/>
        </w:rPr>
        <w:t> </w:t>
      </w:r>
      <w:r>
        <w:rPr>
          <w:b/>
          <w:color w:val="00188F"/>
        </w:rPr>
        <w:t>Avoir Service</w:t>
      </w:r>
      <w:r>
        <w:rPr>
          <w:color w:val="000000" w:themeColor="text1"/>
        </w:rPr>
        <w:t> </w:t>
      </w:r>
      <w:r w:rsidRPr="00426103">
        <w:t>»</w:t>
      </w:r>
      <w:r>
        <w:rPr>
          <w:color w:val="000000" w:themeColor="text1"/>
        </w:rPr>
        <w:t xml:space="preserve">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sidRPr="00426103">
        <w:t>«</w:t>
      </w:r>
      <w:r>
        <w:rPr>
          <w:color w:val="000000" w:themeColor="text1"/>
        </w:rPr>
        <w:t> </w:t>
      </w:r>
      <w:r>
        <w:rPr>
          <w:b/>
          <w:color w:val="00188F"/>
        </w:rPr>
        <w:t>Niveau de Service</w:t>
      </w:r>
      <w:r>
        <w:rPr>
          <w:color w:val="000000" w:themeColor="text1"/>
        </w:rPr>
        <w:t> </w:t>
      </w:r>
      <w:r w:rsidRPr="00426103">
        <w:t>»</w:t>
      </w:r>
      <w:r>
        <w:rPr>
          <w:color w:val="000000" w:themeColor="text1"/>
        </w:rPr>
        <w:t xml:space="preserve">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sidRPr="00426103">
        <w:t>«</w:t>
      </w:r>
      <w:r>
        <w:rPr>
          <w:color w:val="000000" w:themeColor="text1"/>
        </w:rPr>
        <w:t> </w:t>
      </w:r>
      <w:r>
        <w:rPr>
          <w:b/>
          <w:color w:val="00188F"/>
        </w:rPr>
        <w:t>Ressource de Service</w:t>
      </w:r>
      <w:r>
        <w:rPr>
          <w:color w:val="000000" w:themeColor="text1"/>
        </w:rPr>
        <w:t> </w:t>
      </w:r>
      <w:r w:rsidRPr="00426103">
        <w:t>»</w:t>
      </w:r>
      <w:r>
        <w:t xml:space="preserve"> désigne une ressource individuelle utilisable au sein d’un Service.</w:t>
      </w:r>
    </w:p>
    <w:p w14:paraId="6EF19CD6" w14:textId="2EE5678B" w:rsidR="001D1C2C" w:rsidRPr="00FB368F" w:rsidRDefault="00F575B8" w:rsidP="001D1C2C">
      <w:pPr>
        <w:pStyle w:val="ProductList-Body"/>
        <w:spacing w:after="40"/>
      </w:pPr>
      <w:r w:rsidRPr="00426103">
        <w:t>«</w:t>
      </w:r>
      <w:r>
        <w:rPr>
          <w:color w:val="000000" w:themeColor="text1"/>
        </w:rPr>
        <w:t> </w:t>
      </w:r>
      <w:r>
        <w:rPr>
          <w:b/>
          <w:color w:val="00188F"/>
        </w:rPr>
        <w:t>Code de Réussite</w:t>
      </w:r>
      <w:r>
        <w:rPr>
          <w:color w:val="000000" w:themeColor="text1"/>
        </w:rPr>
        <w:t> </w:t>
      </w:r>
      <w:r w:rsidRPr="00426103">
        <w:t>»</w:t>
      </w:r>
      <w:r>
        <w:t xml:space="preserve"> renvoie à une indication informant qu’une opération a réussi, comme un code de statut HTTP commençant par </w:t>
      </w:r>
      <w:proofErr w:type="spellStart"/>
      <w:r>
        <w:t>2xx</w:t>
      </w:r>
      <w:proofErr w:type="spellEnd"/>
      <w:r>
        <w:t>.</w:t>
      </w:r>
    </w:p>
    <w:p w14:paraId="461AC117" w14:textId="14702FC5" w:rsidR="001D1C2C" w:rsidRPr="00FB368F" w:rsidRDefault="00F575B8" w:rsidP="001D1C2C">
      <w:pPr>
        <w:pStyle w:val="ProductList-Body"/>
        <w:spacing w:after="40"/>
      </w:pPr>
      <w:r w:rsidRPr="00426103">
        <w:t>«</w:t>
      </w:r>
      <w:r>
        <w:rPr>
          <w:color w:val="000000" w:themeColor="text1"/>
        </w:rPr>
        <w:t> </w:t>
      </w:r>
      <w:r>
        <w:rPr>
          <w:b/>
          <w:color w:val="00188F"/>
        </w:rPr>
        <w:t>Période de Support</w:t>
      </w:r>
      <w:r>
        <w:rPr>
          <w:color w:val="000000" w:themeColor="text1"/>
        </w:rPr>
        <w:t> </w:t>
      </w:r>
      <w:r w:rsidRPr="00426103">
        <w:t>»</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sidRPr="00426103">
        <w:t>«</w:t>
      </w:r>
      <w:r>
        <w:rPr>
          <w:color w:val="000000" w:themeColor="text1"/>
        </w:rPr>
        <w:t> </w:t>
      </w:r>
      <w:r>
        <w:rPr>
          <w:b/>
          <w:color w:val="00188F"/>
        </w:rPr>
        <w:t>Minutes Utilisateur</w:t>
      </w:r>
      <w:r>
        <w:rPr>
          <w:color w:val="000000" w:themeColor="text1"/>
        </w:rPr>
        <w:t> </w:t>
      </w:r>
      <w:r w:rsidRPr="00426103">
        <w:t>»</w:t>
      </w:r>
      <w:r>
        <w:rPr>
          <w:color w:val="000000" w:themeColor="text1"/>
        </w:rPr>
        <w:t xml:space="preserve">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1" w:name="Terms"/>
      <w:r w:rsidRPr="00362FF7">
        <w:rPr>
          <w:lang w:eastAsia="en-US" w:bidi="ar-SA"/>
        </w:rPr>
        <w:t>Conditions</w:t>
      </w:r>
    </w:p>
    <w:p w14:paraId="7371D222" w14:textId="77777777" w:rsidR="001D1C2C" w:rsidRPr="00FB368F" w:rsidRDefault="001D1C2C" w:rsidP="001D1C2C">
      <w:pPr>
        <w:pStyle w:val="ProductList-ClauseHeading"/>
      </w:pPr>
      <w:bookmarkStart w:id="12" w:name="GeneralTerms_Claims"/>
      <w:bookmarkEnd w:id="11"/>
      <w:r>
        <w:t>Réclamations</w:t>
      </w:r>
    </w:p>
    <w:bookmarkEnd w:id="12"/>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w:t>
      </w:r>
      <w:r w:rsidRPr="006E70DE">
        <w:t>:</w:t>
      </w:r>
      <w:r>
        <w:t xml:space="preserve">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 xml:space="preserve">plus d’un Niveau de Service n’a pas été respecté pour un Service spécifique en raison du même Incident, vous devez choisir un seul Niveau de </w:t>
      </w:r>
      <w:r>
        <w:lastRenderedPageBreak/>
        <w:t>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 xml:space="preserve">Les Avoirs Service s’appliquent uniquement aux frais payés pour le Service, la Ressource de Service ou l’édition de Service concerné(e) par le </w:t>
      </w:r>
      <w:proofErr w:type="spellStart"/>
      <w:r>
        <w:t>non</w:t>
      </w:r>
      <w:r w:rsidR="00E56532">
        <w:t>­</w:t>
      </w:r>
      <w:r>
        <w:t>respect</w:t>
      </w:r>
      <w:proofErr w:type="spellEnd"/>
      <w:r>
        <w:t xml:space="preserve">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35D4716A" w14:textId="77777777" w:rsidR="00C55C15" w:rsidRPr="00124ACE" w:rsidRDefault="00C55C15" w:rsidP="00C55C15">
      <w:pPr>
        <w:pStyle w:val="ProductList-ClauseHeading"/>
        <w:outlineLvl w:val="2"/>
      </w:pPr>
      <w:bookmarkStart w:id="13" w:name="Limitations"/>
      <w:r>
        <w:t>Restrictions d’utilisation</w:t>
      </w:r>
    </w:p>
    <w:bookmarkEnd w:id="13"/>
    <w:p w14:paraId="320FB3C5" w14:textId="77777777" w:rsidR="00C55C15" w:rsidRPr="00124ACE" w:rsidRDefault="00C55C15" w:rsidP="00C55C15">
      <w:pPr>
        <w:pStyle w:val="ProductList-Body"/>
      </w:pPr>
      <w:r>
        <w:t>Le présent SLA et tout Niveau de Service applicable ne s</w:t>
      </w:r>
      <w:r>
        <w:rPr>
          <w:rFonts w:eastAsiaTheme="minorEastAsia"/>
          <w:szCs w:val="18"/>
        </w:rPr>
        <w:t>’</w:t>
      </w:r>
      <w:r>
        <w:t>appliquent pas aux problèmes de fonctionnement ou de disponibilité :</w:t>
      </w:r>
    </w:p>
    <w:p w14:paraId="1F705241" w14:textId="77777777" w:rsidR="00C55C15" w:rsidRPr="00124ACE" w:rsidRDefault="00C55C15" w:rsidP="00C55C15">
      <w:pPr>
        <w:pStyle w:val="ProductList-Body"/>
        <w:numPr>
          <w:ilvl w:val="0"/>
          <w:numId w:val="1"/>
        </w:numPr>
        <w:tabs>
          <w:tab w:val="clear" w:pos="360"/>
          <w:tab w:val="clear" w:pos="720"/>
          <w:tab w:val="clear" w:pos="1080"/>
        </w:tabs>
      </w:pPr>
      <w:r>
        <w:t>qui sont dus à des facteurs échappant à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3310383E" w14:textId="77777777" w:rsidR="00C55C15" w:rsidRPr="00124ACE" w:rsidRDefault="00C55C15" w:rsidP="00C55C15">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104A77F2" w14:textId="77777777" w:rsidR="00C55C15" w:rsidRPr="00124ACE" w:rsidRDefault="00C55C15" w:rsidP="00C55C15">
      <w:pPr>
        <w:pStyle w:val="ProductList-Body"/>
        <w:numPr>
          <w:ilvl w:val="0"/>
          <w:numId w:val="1"/>
        </w:numPr>
        <w:tabs>
          <w:tab w:val="clear" w:pos="360"/>
          <w:tab w:val="clear" w:pos="720"/>
          <w:tab w:val="clear" w:pos="1080"/>
        </w:tabs>
      </w:pPr>
      <w:r>
        <w:t xml:space="preserve">qui découle de défaillances d’une seul site du Datacenter Microsoft lorsque votre connectivité réseau dépend explicitement de ce site d’une manière non géographiquement résiliente.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 xml:space="preserve">qui surviennent pendant ou dans le cadre de versions d’évaluation, </w:t>
      </w:r>
      <w:proofErr w:type="spellStart"/>
      <w:r>
        <w:t>précommerciales</w:t>
      </w:r>
      <w:proofErr w:type="spellEnd"/>
      <w:r>
        <w:t>,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w:t>
      </w:r>
      <w:r w:rsidRPr="00426103">
        <w:t>«</w:t>
      </w:r>
      <w:r>
        <w:t> Frais de Service Mensuels Applicables </w:t>
      </w:r>
      <w:r w:rsidRPr="00426103">
        <w:t>»</w:t>
      </w:r>
      <w:r>
        <w:t xml:space="preserve"> est supprimée et remplacée par la mention de </w:t>
      </w:r>
      <w:r w:rsidRPr="00426103">
        <w:t>«</w:t>
      </w:r>
      <w:r>
        <w:t> Période Mensuelle Applicable </w:t>
      </w:r>
      <w:r w:rsidRPr="00426103">
        <w:t>»</w:t>
      </w:r>
      <w:r>
        <w:t>.</w:t>
      </w:r>
    </w:p>
    <w:p w14:paraId="227DDF95" w14:textId="77777777" w:rsidR="009C340C" w:rsidRPr="00FB368F" w:rsidRDefault="0006534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2928A2" w:rsidRDefault="00045C64" w:rsidP="002024BF">
      <w:pPr>
        <w:rPr>
          <w:sz w:val="18"/>
          <w:szCs w:val="18"/>
        </w:rPr>
        <w:sectPr w:rsidR="00045C64" w:rsidRPr="002928A2"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4" w:name="ServiceSpecificTerms"/>
      <w:bookmarkStart w:id="15" w:name="_Toc65680388"/>
      <w:r w:rsidRPr="008E64FF">
        <w:rPr>
          <w:lang w:eastAsia="en-US" w:bidi="ar-SA"/>
        </w:rPr>
        <w:lastRenderedPageBreak/>
        <w:t>Conditions Spécifiques des Services</w:t>
      </w:r>
      <w:bookmarkEnd w:id="15"/>
    </w:p>
    <w:p w14:paraId="10A02BEA" w14:textId="77777777" w:rsidR="003D3190" w:rsidRPr="00335E32" w:rsidRDefault="003D3190" w:rsidP="003D3190">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65680389"/>
      <w:bookmarkEnd w:id="14"/>
      <w:r w:rsidRPr="00335E32">
        <w:rPr>
          <w:lang w:val="en-US"/>
        </w:rPr>
        <w:t>Microsoft Dynamics</w:t>
      </w:r>
      <w:bookmarkEnd w:id="16"/>
      <w:bookmarkEnd w:id="17"/>
      <w:r w:rsidRPr="00335E32">
        <w:rPr>
          <w:lang w:val="en-US"/>
        </w:rPr>
        <w:t xml:space="preserve"> 365</w:t>
      </w:r>
      <w:bookmarkEnd w:id="18"/>
      <w:bookmarkEnd w:id="19"/>
    </w:p>
    <w:p w14:paraId="139206F0"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20" w:name="_Toc524384433"/>
      <w:bookmarkStart w:id="21" w:name="_Toc531162400"/>
      <w:bookmarkStart w:id="22" w:name="MicrosoftDynamics365forCustSrvcEntProIns"/>
      <w:bookmarkStart w:id="23" w:name="_Toc5018151"/>
      <w:bookmarkStart w:id="24" w:name="_Toc438127029"/>
      <w:bookmarkStart w:id="25" w:name="_Toc457821509"/>
      <w:bookmarkStart w:id="26" w:name="_Toc65680390"/>
      <w:r w:rsidRPr="0086228D">
        <w:rPr>
          <w:lang w:val="en-US"/>
        </w:rPr>
        <w:t>Dynamics 365 Business Central</w:t>
      </w:r>
      <w:bookmarkEnd w:id="26"/>
    </w:p>
    <w:p w14:paraId="6420D78A" w14:textId="77777777" w:rsidR="00B66EB9" w:rsidRPr="00C84C65" w:rsidRDefault="00B66EB9" w:rsidP="004732EE">
      <w:pPr>
        <w:pStyle w:val="ProductList-Body"/>
      </w:pPr>
      <w:r>
        <w:rPr>
          <w:b/>
          <w:color w:val="00188F"/>
        </w:rPr>
        <w:t>Temps d’Indisponibilité</w:t>
      </w:r>
      <w:r w:rsidRPr="00C07813">
        <w:rPr>
          <w:b/>
          <w:bCs/>
        </w:rPr>
        <w:t> </w:t>
      </w:r>
      <w:r w:rsidRPr="006E70DE">
        <w:rPr>
          <w:bCs/>
        </w:rPr>
        <w:t>:</w:t>
      </w:r>
      <w:r w:rsidRPr="00C07813">
        <w:rPr>
          <w:b/>
          <w:bCs/>
        </w:rPr>
        <w:t xml:space="preserve"> </w:t>
      </w:r>
      <w:r>
        <w:t>Toute période au cours de laquelle les utilisateurs finaux ne peuvent pas se connecter à leur instance.</w:t>
      </w:r>
    </w:p>
    <w:p w14:paraId="553BF687" w14:textId="77777777" w:rsidR="004732EE" w:rsidRDefault="004732EE" w:rsidP="00B66EB9">
      <w:pPr>
        <w:pStyle w:val="ProductList-Body"/>
        <w:rPr>
          <w:b/>
          <w:color w:val="00188F"/>
        </w:rPr>
      </w:pPr>
    </w:p>
    <w:p w14:paraId="5AF9A55E" w14:textId="066B161C" w:rsidR="00B66EB9" w:rsidRDefault="00B66EB9" w:rsidP="00B66EB9">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3649F7FE" w14:textId="77777777" w:rsidR="00B66EB9" w:rsidRPr="00C84C65" w:rsidRDefault="00B66EB9" w:rsidP="00B66EB9">
      <w:pPr>
        <w:pStyle w:val="ProductList-Body"/>
      </w:pPr>
    </w:p>
    <w:p w14:paraId="4EBB93E1" w14:textId="77777777" w:rsidR="00B66EB9" w:rsidRPr="002928A2" w:rsidRDefault="00065349" w:rsidP="00B66E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D24F8F5" w14:textId="77777777" w:rsidR="00B66EB9" w:rsidRPr="00C84C65"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6F76CA" w14:textId="77777777" w:rsidR="00B66EB9" w:rsidRPr="00C84C65" w:rsidRDefault="00B66EB9" w:rsidP="00B66EB9">
      <w:pPr>
        <w:pStyle w:val="ProductList-Body"/>
      </w:pPr>
    </w:p>
    <w:p w14:paraId="752D0E87" w14:textId="77777777" w:rsidR="00B66EB9" w:rsidRPr="00C84C65" w:rsidRDefault="00B66EB9" w:rsidP="00B66EB9">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21BCF46D" w14:textId="77777777" w:rsidTr="00821000">
        <w:trPr>
          <w:tblHeader/>
        </w:trPr>
        <w:tc>
          <w:tcPr>
            <w:tcW w:w="5400" w:type="dxa"/>
            <w:shd w:val="clear" w:color="auto" w:fill="0072C6"/>
          </w:tcPr>
          <w:p w14:paraId="5C934781"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2B0073"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3BED4DDC" w14:textId="77777777" w:rsidTr="00821000">
        <w:tc>
          <w:tcPr>
            <w:tcW w:w="5400" w:type="dxa"/>
          </w:tcPr>
          <w:p w14:paraId="68F9B95C" w14:textId="77777777" w:rsidR="00B66EB9" w:rsidRPr="0076238C" w:rsidRDefault="00B66EB9" w:rsidP="00821000">
            <w:pPr>
              <w:pStyle w:val="ProductList-OfferingBody"/>
              <w:jc w:val="center"/>
            </w:pPr>
            <w:r>
              <w:t>&lt; 99,9 %</w:t>
            </w:r>
          </w:p>
        </w:tc>
        <w:tc>
          <w:tcPr>
            <w:tcW w:w="5400" w:type="dxa"/>
          </w:tcPr>
          <w:p w14:paraId="4F48EE5D" w14:textId="77777777" w:rsidR="00B66EB9" w:rsidRPr="0076238C" w:rsidRDefault="00B66EB9" w:rsidP="00821000">
            <w:pPr>
              <w:pStyle w:val="ProductList-OfferingBody"/>
              <w:jc w:val="center"/>
            </w:pPr>
            <w:r>
              <w:t>25 %</w:t>
            </w:r>
          </w:p>
        </w:tc>
      </w:tr>
      <w:tr w:rsidR="00B66EB9" w:rsidRPr="002928A2" w14:paraId="3F080040" w14:textId="77777777" w:rsidTr="00821000">
        <w:tc>
          <w:tcPr>
            <w:tcW w:w="5400" w:type="dxa"/>
          </w:tcPr>
          <w:p w14:paraId="19D0D63A" w14:textId="77777777" w:rsidR="00B66EB9" w:rsidRPr="0076238C" w:rsidRDefault="00B66EB9" w:rsidP="00821000">
            <w:pPr>
              <w:pStyle w:val="ProductList-OfferingBody"/>
              <w:jc w:val="center"/>
            </w:pPr>
            <w:r>
              <w:t>&lt; 99 %</w:t>
            </w:r>
          </w:p>
        </w:tc>
        <w:tc>
          <w:tcPr>
            <w:tcW w:w="5400" w:type="dxa"/>
          </w:tcPr>
          <w:p w14:paraId="7BB738B9" w14:textId="77777777" w:rsidR="00B66EB9" w:rsidRPr="0076238C" w:rsidRDefault="00B66EB9" w:rsidP="00821000">
            <w:pPr>
              <w:pStyle w:val="ProductList-OfferingBody"/>
              <w:jc w:val="center"/>
            </w:pPr>
            <w:r>
              <w:t>50 %</w:t>
            </w:r>
          </w:p>
        </w:tc>
      </w:tr>
      <w:tr w:rsidR="00B66EB9" w:rsidRPr="002928A2" w14:paraId="0DC3B001" w14:textId="77777777" w:rsidTr="00821000">
        <w:tc>
          <w:tcPr>
            <w:tcW w:w="5400" w:type="dxa"/>
          </w:tcPr>
          <w:p w14:paraId="30FE7895" w14:textId="77777777" w:rsidR="00B66EB9" w:rsidRPr="0076238C" w:rsidRDefault="00B66EB9" w:rsidP="00821000">
            <w:pPr>
              <w:pStyle w:val="ProductList-OfferingBody"/>
              <w:jc w:val="center"/>
            </w:pPr>
            <w:r>
              <w:t>&lt; 95 %</w:t>
            </w:r>
          </w:p>
        </w:tc>
        <w:tc>
          <w:tcPr>
            <w:tcW w:w="5400" w:type="dxa"/>
          </w:tcPr>
          <w:p w14:paraId="2D64C419" w14:textId="77777777" w:rsidR="00B66EB9" w:rsidRPr="0076238C" w:rsidRDefault="00B66EB9" w:rsidP="00821000">
            <w:pPr>
              <w:pStyle w:val="ProductList-OfferingBody"/>
              <w:jc w:val="center"/>
            </w:pPr>
            <w:r>
              <w:t>100 %</w:t>
            </w:r>
          </w:p>
        </w:tc>
      </w:tr>
    </w:tbl>
    <w:p w14:paraId="2743BD54" w14:textId="77777777" w:rsidR="00B66EB9" w:rsidRPr="00FB368F" w:rsidRDefault="00065349"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4B0C3FFB" w14:textId="77777777" w:rsidR="00B66EB9" w:rsidRPr="00DE201A" w:rsidRDefault="00B66EB9" w:rsidP="00B66EB9">
      <w:pPr>
        <w:pStyle w:val="ProductList-Offering2Heading"/>
        <w:pBdr>
          <w:between w:val="single" w:sz="4" w:space="1" w:color="auto"/>
        </w:pBdr>
        <w:tabs>
          <w:tab w:val="clear" w:pos="360"/>
          <w:tab w:val="clear" w:pos="720"/>
          <w:tab w:val="clear" w:pos="1080"/>
        </w:tabs>
        <w:outlineLvl w:val="2"/>
      </w:pPr>
      <w:bookmarkStart w:id="27" w:name="_Toc65680391"/>
      <w:r>
        <w:t>Dynamics 365 Commerce</w:t>
      </w:r>
      <w:bookmarkEnd w:id="27"/>
    </w:p>
    <w:p w14:paraId="2FFF6184" w14:textId="77777777" w:rsidR="00B66EB9" w:rsidRPr="00DE201A" w:rsidRDefault="00B66EB9" w:rsidP="00B66EB9">
      <w:pPr>
        <w:pStyle w:val="ProductList-Body"/>
      </w:pPr>
      <w:r>
        <w:rPr>
          <w:b/>
          <w:color w:val="00188F"/>
        </w:rPr>
        <w:t>Définitions supplémentaires </w:t>
      </w:r>
      <w:r w:rsidRPr="006E70DE">
        <w:t>:</w:t>
      </w:r>
    </w:p>
    <w:p w14:paraId="734CDCEB" w14:textId="77777777" w:rsidR="00B66EB9" w:rsidRPr="00DE201A" w:rsidRDefault="00B66EB9" w:rsidP="00B66EB9">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66C406A6" w14:textId="77777777" w:rsidR="00B66EB9" w:rsidRPr="00DE201A" w:rsidRDefault="00B66EB9" w:rsidP="00B66EB9">
      <w:pPr>
        <w:pStyle w:val="ProductList-Body"/>
      </w:pPr>
      <w:r w:rsidRPr="00426103">
        <w:t>«</w:t>
      </w:r>
      <w:r>
        <w:t> </w:t>
      </w:r>
      <w:r>
        <w:rPr>
          <w:b/>
          <w:color w:val="00188F"/>
        </w:rPr>
        <w:t>Service d’Application Partenaire</w:t>
      </w:r>
      <w:r>
        <w:t> </w:t>
      </w:r>
      <w:r w:rsidRPr="00426103">
        <w:t>»</w:t>
      </w:r>
      <w:r>
        <w:t xml:space="preserve"> désigne une application partenaire qui repose sur et est combinée avec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09400213" w14:textId="77777777" w:rsidR="00B66EB9" w:rsidRPr="00DE201A" w:rsidRDefault="00B66EB9" w:rsidP="00B66EB9">
      <w:pPr>
        <w:pStyle w:val="ProductList-Body"/>
      </w:pPr>
      <w:r w:rsidRPr="00426103">
        <w:t>«</w:t>
      </w:r>
      <w:r>
        <w:t> </w:t>
      </w:r>
      <w:r>
        <w:rPr>
          <w:b/>
          <w:color w:val="00188F"/>
        </w:rPr>
        <w:t>Nombre Maximal de Minutes Disponibles</w:t>
      </w:r>
      <w:r>
        <w:t> </w:t>
      </w:r>
      <w:r w:rsidRPr="00426103">
        <w:t>»</w:t>
      </w:r>
      <w:r>
        <w:t xml:space="preserve"> désigne le total des minutes accumulées au cours d’un mois de facturation au cours duquel un Tenant Actif a été déployé dans un Service d’Application Partenaire utilisant une topologie de production haute disponibilité active. </w:t>
      </w:r>
    </w:p>
    <w:p w14:paraId="779C385D" w14:textId="77777777" w:rsidR="00B66EB9" w:rsidRPr="00DE201A" w:rsidRDefault="00B66EB9" w:rsidP="00B66EB9">
      <w:pPr>
        <w:pStyle w:val="ProductList-Body"/>
      </w:pPr>
      <w:r w:rsidRPr="00426103">
        <w:t>«</w:t>
      </w:r>
      <w:r>
        <w:t> </w:t>
      </w:r>
      <w:r>
        <w:rPr>
          <w:b/>
          <w:color w:val="00188F"/>
        </w:rPr>
        <w:t>Plateforme</w:t>
      </w:r>
      <w:r>
        <w:t> </w:t>
      </w:r>
      <w:r w:rsidRPr="00426103">
        <w:t>»</w:t>
      </w:r>
      <w: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3F2B4118" w14:textId="77777777" w:rsidR="00B66EB9" w:rsidRPr="00DE201A" w:rsidRDefault="00B66EB9" w:rsidP="00B66EB9">
      <w:pPr>
        <w:pStyle w:val="ProductList-Body"/>
      </w:pPr>
      <w:r w:rsidRPr="00426103">
        <w:t>«</w:t>
      </w:r>
      <w:r>
        <w:t> </w:t>
      </w:r>
      <w:r>
        <w:rPr>
          <w:b/>
          <w:color w:val="00188F"/>
        </w:rPr>
        <w:t>Unité d’Échelle</w:t>
      </w:r>
      <w:r>
        <w:t> </w:t>
      </w:r>
      <w:r w:rsidRPr="00426103">
        <w:t>»</w:t>
      </w:r>
      <w:r>
        <w:t xml:space="preserve"> désigne les incréments par lesquels des ressources de calcul et de stockage sont ajoutées à un Service d’Application Partenaire ou retirées de ce Service. </w:t>
      </w:r>
    </w:p>
    <w:p w14:paraId="796D128D" w14:textId="77777777" w:rsidR="00B66EB9" w:rsidRPr="00DE201A" w:rsidRDefault="00B66EB9" w:rsidP="00B66EB9">
      <w:pPr>
        <w:pStyle w:val="ProductList-Body"/>
      </w:pPr>
      <w:r w:rsidRPr="00426103">
        <w:t>«</w:t>
      </w:r>
      <w:r>
        <w:t> </w:t>
      </w:r>
      <w:r>
        <w:rPr>
          <w:b/>
          <w:color w:val="00188F"/>
        </w:rPr>
        <w:t>Infrastructure du Service</w:t>
      </w:r>
      <w:r>
        <w:t> </w:t>
      </w:r>
      <w:r w:rsidRPr="00426103">
        <w:t>»</w:t>
      </w:r>
      <w:r>
        <w:t xml:space="preserve"> désigne les ressources d’authentification, de calcul et de stockage que Microsoft fournit dans le cadre du Service.</w:t>
      </w:r>
    </w:p>
    <w:p w14:paraId="686DAD72" w14:textId="77777777" w:rsidR="00B66EB9" w:rsidRPr="00DE201A" w:rsidRDefault="00B66EB9" w:rsidP="00B66EB9">
      <w:pPr>
        <w:pStyle w:val="ProductList-Body"/>
      </w:pPr>
    </w:p>
    <w:p w14:paraId="52A3E2ED" w14:textId="77777777" w:rsidR="00B66EB9" w:rsidRPr="00DE201A" w:rsidRDefault="00B66EB9" w:rsidP="00B66EB9">
      <w:pPr>
        <w:pStyle w:val="ProductList-Body"/>
      </w:pPr>
      <w:r>
        <w:rPr>
          <w:b/>
          <w:color w:val="00188F"/>
        </w:rPr>
        <w:t>Temps d’Indisponibilité</w:t>
      </w:r>
      <w:r>
        <w:t> </w:t>
      </w:r>
      <w:r w:rsidRPr="006E70DE">
        <w:rPr>
          <w:bCs/>
        </w:rPr>
        <w:t>:</w:t>
      </w:r>
      <w:r>
        <w:t xml:space="preserve"> désigne toute période au cours de laquelle les utilisateurs finaux sont dans l’impossibilité d’accéder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7445893E" w14:textId="77777777" w:rsidR="00B66EB9" w:rsidRPr="00DE201A" w:rsidRDefault="00B66EB9" w:rsidP="00B66EB9">
      <w:pPr>
        <w:pStyle w:val="ProductList-Body"/>
      </w:pPr>
    </w:p>
    <w:p w14:paraId="2AAF05FD" w14:textId="77777777" w:rsidR="00B66EB9" w:rsidRDefault="00B66EB9" w:rsidP="00B66EB9">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17857522" w14:textId="77777777" w:rsidR="00B66EB9" w:rsidRPr="00DE201A" w:rsidRDefault="00B66EB9" w:rsidP="00B66EB9">
      <w:pPr>
        <w:pStyle w:val="ProductList-Body"/>
      </w:pPr>
    </w:p>
    <w:p w14:paraId="75EB51FF" w14:textId="77777777" w:rsidR="00B66EB9" w:rsidRPr="0008786F" w:rsidRDefault="00065349" w:rsidP="00B66EB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5FB589C3" w14:textId="77777777" w:rsidR="00B66EB9" w:rsidRPr="00DE201A"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272EDDB" w14:textId="77777777" w:rsidR="00B66EB9" w:rsidRPr="00DE201A" w:rsidRDefault="00B66EB9" w:rsidP="00B66EB9">
      <w:pPr>
        <w:pStyle w:val="ProductList-Body"/>
      </w:pPr>
    </w:p>
    <w:p w14:paraId="1E1BD99B" w14:textId="77777777" w:rsidR="00B66EB9" w:rsidRPr="00DE201A" w:rsidRDefault="00B66EB9" w:rsidP="00821000">
      <w:pPr>
        <w:pStyle w:val="ProductList-Body"/>
        <w:keepNext/>
      </w:pPr>
      <w:r>
        <w:rPr>
          <w:b/>
          <w:color w:val="00188F"/>
        </w:rPr>
        <w:lastRenderedPageBreak/>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6B966AF9" w14:textId="77777777" w:rsidTr="00821000">
        <w:trPr>
          <w:tblHeader/>
        </w:trPr>
        <w:tc>
          <w:tcPr>
            <w:tcW w:w="5400" w:type="dxa"/>
            <w:shd w:val="clear" w:color="auto" w:fill="0072C6"/>
          </w:tcPr>
          <w:p w14:paraId="2D77CA21"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7921E04"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0D1041AA" w14:textId="77777777" w:rsidTr="00821000">
        <w:tc>
          <w:tcPr>
            <w:tcW w:w="5400" w:type="dxa"/>
          </w:tcPr>
          <w:p w14:paraId="0492C567" w14:textId="77777777" w:rsidR="00B66EB9" w:rsidRPr="0076238C" w:rsidRDefault="00B66EB9" w:rsidP="00821000">
            <w:pPr>
              <w:pStyle w:val="ProductList-OfferingBody"/>
              <w:jc w:val="center"/>
            </w:pPr>
            <w:r>
              <w:t>&lt; 99,9 %</w:t>
            </w:r>
          </w:p>
        </w:tc>
        <w:tc>
          <w:tcPr>
            <w:tcW w:w="5400" w:type="dxa"/>
          </w:tcPr>
          <w:p w14:paraId="0DABA61C" w14:textId="77777777" w:rsidR="00B66EB9" w:rsidRPr="0076238C" w:rsidRDefault="00B66EB9" w:rsidP="00821000">
            <w:pPr>
              <w:pStyle w:val="ProductList-OfferingBody"/>
              <w:jc w:val="center"/>
            </w:pPr>
            <w:r>
              <w:t>25 %</w:t>
            </w:r>
          </w:p>
        </w:tc>
      </w:tr>
      <w:tr w:rsidR="00B66EB9" w:rsidRPr="002928A2" w14:paraId="026883C4" w14:textId="77777777" w:rsidTr="00821000">
        <w:tc>
          <w:tcPr>
            <w:tcW w:w="5400" w:type="dxa"/>
          </w:tcPr>
          <w:p w14:paraId="43B3C0CB" w14:textId="77777777" w:rsidR="00B66EB9" w:rsidRPr="0076238C" w:rsidRDefault="00B66EB9" w:rsidP="00821000">
            <w:pPr>
              <w:pStyle w:val="ProductList-OfferingBody"/>
              <w:jc w:val="center"/>
            </w:pPr>
            <w:r>
              <w:t>&lt; 99 %</w:t>
            </w:r>
          </w:p>
        </w:tc>
        <w:tc>
          <w:tcPr>
            <w:tcW w:w="5400" w:type="dxa"/>
          </w:tcPr>
          <w:p w14:paraId="61F801C3" w14:textId="77777777" w:rsidR="00B66EB9" w:rsidRPr="0076238C" w:rsidRDefault="00B66EB9" w:rsidP="00821000">
            <w:pPr>
              <w:pStyle w:val="ProductList-OfferingBody"/>
              <w:jc w:val="center"/>
            </w:pPr>
            <w:r>
              <w:t>50 %</w:t>
            </w:r>
          </w:p>
        </w:tc>
      </w:tr>
      <w:tr w:rsidR="00B66EB9" w:rsidRPr="002928A2" w14:paraId="21C56758" w14:textId="77777777" w:rsidTr="00821000">
        <w:tc>
          <w:tcPr>
            <w:tcW w:w="5400" w:type="dxa"/>
          </w:tcPr>
          <w:p w14:paraId="7E939538" w14:textId="77777777" w:rsidR="00B66EB9" w:rsidRPr="0076238C" w:rsidRDefault="00B66EB9" w:rsidP="00821000">
            <w:pPr>
              <w:pStyle w:val="ProductList-OfferingBody"/>
              <w:jc w:val="center"/>
            </w:pPr>
            <w:r>
              <w:t>&lt; 95 %</w:t>
            </w:r>
          </w:p>
        </w:tc>
        <w:tc>
          <w:tcPr>
            <w:tcW w:w="5400" w:type="dxa"/>
          </w:tcPr>
          <w:p w14:paraId="7ED08D30" w14:textId="77777777" w:rsidR="00B66EB9" w:rsidRPr="0076238C" w:rsidRDefault="00B66EB9" w:rsidP="00821000">
            <w:pPr>
              <w:pStyle w:val="ProductList-OfferingBody"/>
              <w:jc w:val="center"/>
            </w:pPr>
            <w:r>
              <w:t>100 %</w:t>
            </w:r>
          </w:p>
        </w:tc>
      </w:tr>
    </w:tbl>
    <w:p w14:paraId="2D1A6D04" w14:textId="77777777" w:rsidR="00B66EB9" w:rsidRPr="00FB368F" w:rsidRDefault="00065349"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0D99F5AA" w14:textId="77777777" w:rsidR="00B66EB9" w:rsidRDefault="00B66EB9" w:rsidP="00B66EB9">
      <w:pPr>
        <w:pStyle w:val="ProductList-Offering2Heading"/>
        <w:pBdr>
          <w:between w:val="single" w:sz="4" w:space="1" w:color="auto"/>
        </w:pBdr>
        <w:tabs>
          <w:tab w:val="clear" w:pos="360"/>
          <w:tab w:val="clear" w:pos="720"/>
          <w:tab w:val="clear" w:pos="1080"/>
        </w:tabs>
        <w:outlineLvl w:val="2"/>
      </w:pPr>
      <w:bookmarkStart w:id="28" w:name="_Toc65680392"/>
      <w:r>
        <w:t>Dynamics 365 Customer Insights</w:t>
      </w:r>
      <w:bookmarkEnd w:id="28"/>
    </w:p>
    <w:p w14:paraId="66723713" w14:textId="77777777" w:rsidR="00B66EB9" w:rsidRDefault="00B66EB9" w:rsidP="00B66EB9">
      <w:pPr>
        <w:pStyle w:val="ProductList-Body"/>
        <w:rPr>
          <w:color w:val="000000"/>
        </w:rPr>
      </w:pPr>
      <w:r>
        <w:rPr>
          <w:b/>
          <w:bCs/>
          <w:color w:val="00188F"/>
        </w:rPr>
        <w:t>Temps d’Indisponibilité</w:t>
      </w:r>
      <w:r>
        <w:t> </w:t>
      </w:r>
      <w:r w:rsidRPr="00E2598E">
        <w:rPr>
          <w:b/>
        </w:rPr>
        <w:t>:</w:t>
      </w:r>
      <w:r>
        <w:rPr>
          <w:color w:val="000000"/>
        </w:rPr>
        <w:t xml:space="preserve"> 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46B7B635" w14:textId="77777777" w:rsidR="00B66EB9" w:rsidRDefault="00B66EB9" w:rsidP="00B66EB9">
      <w:pPr>
        <w:pStyle w:val="ProductList-Body"/>
        <w:rPr>
          <w:szCs w:val="18"/>
        </w:rPr>
      </w:pPr>
    </w:p>
    <w:p w14:paraId="10D5F516" w14:textId="77777777" w:rsidR="00B66EB9" w:rsidRDefault="00B66EB9" w:rsidP="00B66EB9">
      <w:pPr>
        <w:pStyle w:val="ProductList-Body"/>
        <w:rPr>
          <w:sz w:val="20"/>
          <w:szCs w:val="20"/>
        </w:rPr>
      </w:pPr>
      <w:r>
        <w:rPr>
          <w:b/>
          <w:bCs/>
          <w:color w:val="00188F"/>
        </w:rPr>
        <w:t>Pourcentage de Temps de Disponibilité Mensuel</w:t>
      </w:r>
      <w:r>
        <w:t> </w:t>
      </w:r>
      <w:r w:rsidRPr="00E2598E">
        <w:rPr>
          <w:b/>
        </w:rPr>
        <w:t>:</w:t>
      </w:r>
      <w:r>
        <w:t xml:space="preserve"> le Pourcentage de Temps de Disponibilité Mensuel est calculé à l’aide de la formule suivante :</w:t>
      </w:r>
    </w:p>
    <w:p w14:paraId="7B27FAB2" w14:textId="77777777" w:rsidR="00B66EB9" w:rsidRDefault="00B66EB9" w:rsidP="00B66EB9">
      <w:pPr>
        <w:pStyle w:val="ProductList-Body"/>
      </w:pPr>
    </w:p>
    <w:p w14:paraId="47C97739" w14:textId="77777777" w:rsidR="00B66EB9" w:rsidRDefault="00065349" w:rsidP="00B66EB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16EFA997" w14:textId="77777777" w:rsidR="00B66EB9" w:rsidRDefault="00B66EB9" w:rsidP="00B66EB9">
      <w:pPr>
        <w:pStyle w:val="ProductList-Body"/>
        <w:rPr>
          <w:sz w:val="20"/>
          <w:szCs w:val="20"/>
        </w:rPr>
      </w:pPr>
    </w:p>
    <w:p w14:paraId="0349BE35" w14:textId="77777777" w:rsidR="00B66EB9"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F129B25" w14:textId="77777777" w:rsidR="00B66EB9" w:rsidRDefault="00B66EB9" w:rsidP="00B66EB9">
      <w:pPr>
        <w:pStyle w:val="ProductList-Body"/>
      </w:pPr>
    </w:p>
    <w:p w14:paraId="47D6B482" w14:textId="77777777" w:rsidR="00B66EB9" w:rsidRPr="00EF7CF9" w:rsidRDefault="00B66EB9" w:rsidP="00B66EB9">
      <w:pPr>
        <w:pStyle w:val="ProductList-Body"/>
      </w:pPr>
      <w:r>
        <w:rPr>
          <w:b/>
          <w:color w:val="00188F"/>
        </w:rPr>
        <w:t>Avoir Service</w:t>
      </w:r>
      <w:r>
        <w:t> </w:t>
      </w:r>
      <w:r w:rsidRPr="00E2598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B44CF9" w14:paraId="39E4EE0D" w14:textId="77777777" w:rsidTr="00821000">
        <w:trPr>
          <w:tblHeader/>
        </w:trPr>
        <w:tc>
          <w:tcPr>
            <w:tcW w:w="5400" w:type="dxa"/>
            <w:shd w:val="clear" w:color="auto" w:fill="0072C6"/>
          </w:tcPr>
          <w:p w14:paraId="12D7B672" w14:textId="77777777" w:rsidR="00B66EB9" w:rsidRPr="00EF7CF9"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7EF75F" w14:textId="77777777" w:rsidR="00B66EB9" w:rsidRPr="00EF7CF9" w:rsidRDefault="00B66EB9" w:rsidP="00821000">
            <w:pPr>
              <w:pStyle w:val="ProductList-OfferingBody"/>
              <w:jc w:val="center"/>
              <w:rPr>
                <w:color w:val="FFFFFF" w:themeColor="background1"/>
              </w:rPr>
            </w:pPr>
            <w:r>
              <w:rPr>
                <w:color w:val="FFFFFF" w:themeColor="background1"/>
              </w:rPr>
              <w:t>Avoir Service</w:t>
            </w:r>
          </w:p>
        </w:tc>
      </w:tr>
      <w:tr w:rsidR="00B66EB9" w:rsidRPr="00B44CF9" w14:paraId="4C1A73CC" w14:textId="77777777" w:rsidTr="00821000">
        <w:tc>
          <w:tcPr>
            <w:tcW w:w="5400" w:type="dxa"/>
          </w:tcPr>
          <w:p w14:paraId="1E8D29FD" w14:textId="77777777" w:rsidR="00B66EB9" w:rsidRPr="00EF7CF9" w:rsidRDefault="00B66EB9" w:rsidP="00821000">
            <w:pPr>
              <w:pStyle w:val="ProductList-OfferingBody"/>
              <w:jc w:val="center"/>
            </w:pPr>
            <w:r>
              <w:t>&lt; 99,9 %</w:t>
            </w:r>
          </w:p>
        </w:tc>
        <w:tc>
          <w:tcPr>
            <w:tcW w:w="5400" w:type="dxa"/>
          </w:tcPr>
          <w:p w14:paraId="28908A68" w14:textId="77777777" w:rsidR="00B66EB9" w:rsidRPr="00EF7CF9" w:rsidRDefault="00B66EB9" w:rsidP="00821000">
            <w:pPr>
              <w:pStyle w:val="ProductList-OfferingBody"/>
              <w:jc w:val="center"/>
            </w:pPr>
            <w:r>
              <w:t>25 %</w:t>
            </w:r>
          </w:p>
        </w:tc>
      </w:tr>
      <w:tr w:rsidR="00B66EB9" w:rsidRPr="00B44CF9" w14:paraId="6DDE9B01" w14:textId="77777777" w:rsidTr="00821000">
        <w:tc>
          <w:tcPr>
            <w:tcW w:w="5400" w:type="dxa"/>
          </w:tcPr>
          <w:p w14:paraId="2DD945E8" w14:textId="77777777" w:rsidR="00B66EB9" w:rsidRPr="00EF7CF9" w:rsidRDefault="00B66EB9" w:rsidP="00821000">
            <w:pPr>
              <w:pStyle w:val="ProductList-OfferingBody"/>
              <w:jc w:val="center"/>
            </w:pPr>
            <w:r>
              <w:t>&lt; 99 %</w:t>
            </w:r>
          </w:p>
        </w:tc>
        <w:tc>
          <w:tcPr>
            <w:tcW w:w="5400" w:type="dxa"/>
          </w:tcPr>
          <w:p w14:paraId="035BA53C" w14:textId="77777777" w:rsidR="00B66EB9" w:rsidRPr="00EF7CF9" w:rsidRDefault="00B66EB9" w:rsidP="00821000">
            <w:pPr>
              <w:pStyle w:val="ProductList-OfferingBody"/>
              <w:jc w:val="center"/>
            </w:pPr>
            <w:r>
              <w:t>50 %</w:t>
            </w:r>
          </w:p>
        </w:tc>
      </w:tr>
      <w:tr w:rsidR="00B66EB9" w:rsidRPr="00B44CF9" w14:paraId="3217932C" w14:textId="77777777" w:rsidTr="00821000">
        <w:tc>
          <w:tcPr>
            <w:tcW w:w="5400" w:type="dxa"/>
          </w:tcPr>
          <w:p w14:paraId="0FED55A6" w14:textId="77777777" w:rsidR="00B66EB9" w:rsidRPr="00EF7CF9" w:rsidRDefault="00B66EB9" w:rsidP="00821000">
            <w:pPr>
              <w:pStyle w:val="ProductList-OfferingBody"/>
              <w:jc w:val="center"/>
            </w:pPr>
            <w:r>
              <w:t>&lt; 95 %</w:t>
            </w:r>
          </w:p>
        </w:tc>
        <w:tc>
          <w:tcPr>
            <w:tcW w:w="5400" w:type="dxa"/>
          </w:tcPr>
          <w:p w14:paraId="1EFB8485" w14:textId="77777777" w:rsidR="00B66EB9" w:rsidRPr="00EF7CF9" w:rsidRDefault="00B66EB9" w:rsidP="00821000">
            <w:pPr>
              <w:pStyle w:val="ProductList-OfferingBody"/>
              <w:jc w:val="center"/>
            </w:pPr>
            <w:r>
              <w:t>100 %</w:t>
            </w:r>
          </w:p>
        </w:tc>
      </w:tr>
    </w:tbl>
    <w:p w14:paraId="4D75C2F2" w14:textId="77777777" w:rsidR="00B66EB9" w:rsidRPr="000D2034" w:rsidRDefault="00065349" w:rsidP="00B66EB9">
      <w:pPr>
        <w:pStyle w:val="ProductList-Body"/>
        <w:shd w:val="clear" w:color="auto" w:fill="808080" w:themeFill="background1" w:themeFillShade="80"/>
        <w:spacing w:before="120" w:after="240"/>
        <w:jc w:val="right"/>
        <w:rPr>
          <w:sz w:val="16"/>
          <w:szCs w:val="16"/>
        </w:rPr>
      </w:pPr>
      <w:hyperlink w:anchor="Tables des matières" w:tooltip="Table des matières" w:history="1">
        <w:r w:rsidR="00B66EB9">
          <w:rPr>
            <w:rStyle w:val="Hyperlink"/>
            <w:sz w:val="16"/>
            <w:szCs w:val="16"/>
          </w:rPr>
          <w:t>Table des matières</w:t>
        </w:r>
      </w:hyperlink>
      <w:r w:rsidR="00B66EB9">
        <w:rPr>
          <w:sz w:val="16"/>
          <w:szCs w:val="16"/>
        </w:rPr>
        <w:t xml:space="preserve"> / </w:t>
      </w:r>
      <w:hyperlink w:anchor="Définitions" w:tooltip="Définitions" w:history="1">
        <w:r w:rsidR="00B66EB9">
          <w:rPr>
            <w:rStyle w:val="Hyperlink"/>
            <w:sz w:val="16"/>
            <w:szCs w:val="16"/>
          </w:rPr>
          <w:t>Définitions</w:t>
        </w:r>
      </w:hyperlink>
    </w:p>
    <w:p w14:paraId="68EB8EBF" w14:textId="70278705" w:rsidR="009C340C" w:rsidRPr="000B6550" w:rsidRDefault="009C340C" w:rsidP="009C340C">
      <w:pPr>
        <w:pStyle w:val="ProductList-Offering2Heading"/>
        <w:pBdr>
          <w:between w:val="single" w:sz="4" w:space="1" w:color="auto"/>
        </w:pBdr>
        <w:tabs>
          <w:tab w:val="clear" w:pos="360"/>
          <w:tab w:val="clear" w:pos="720"/>
          <w:tab w:val="clear" w:pos="1080"/>
        </w:tabs>
        <w:outlineLvl w:val="2"/>
        <w:rPr>
          <w:lang w:val="en-US"/>
        </w:rPr>
      </w:pPr>
      <w:bookmarkStart w:id="29" w:name="_Toc65680393"/>
      <w:r w:rsidRPr="000B6550">
        <w:rPr>
          <w:lang w:val="en-US"/>
        </w:rPr>
        <w:t>Dynamics 365 Customer Service Enterprise ; Dynamics 365 Customer Service Professional</w:t>
      </w:r>
      <w:bookmarkEnd w:id="20"/>
      <w:bookmarkEnd w:id="21"/>
      <w:r w:rsidRPr="000B6550">
        <w:rPr>
          <w:lang w:val="en-US"/>
        </w:rPr>
        <w:t> ; Dynamics 365 Customer Service Insights</w:t>
      </w:r>
      <w:bookmarkEnd w:id="22"/>
      <w:bookmarkEnd w:id="23"/>
      <w:r w:rsidR="00EB39BC">
        <w:rPr>
          <w:lang w:val="en-US"/>
        </w:rPr>
        <w:t xml:space="preserve">; </w:t>
      </w:r>
      <w:r w:rsidR="00EB39BC" w:rsidRPr="00EB39BC">
        <w:rPr>
          <w:lang w:val="en-US"/>
        </w:rPr>
        <w:t>Dynamics 365 Field Service</w:t>
      </w:r>
      <w:bookmarkStart w:id="30" w:name="_Hlk51044693"/>
      <w:r w:rsidR="00893F36" w:rsidRPr="00893F36">
        <w:rPr>
          <w:lang w:val="en-US"/>
        </w:rPr>
        <w:t xml:space="preserve">; </w:t>
      </w:r>
      <w:bookmarkStart w:id="31" w:name="_Hlk51044489"/>
      <w:r w:rsidR="00893F36" w:rsidRPr="00893F36">
        <w:rPr>
          <w:lang w:val="en-US"/>
        </w:rPr>
        <w:t>Dynamics 365 Marketing</w:t>
      </w:r>
      <w:bookmarkEnd w:id="29"/>
      <w:bookmarkEnd w:id="30"/>
      <w:bookmarkEnd w:id="31"/>
    </w:p>
    <w:p w14:paraId="759F3761" w14:textId="77777777" w:rsidR="003D3190" w:rsidRPr="00C84C65" w:rsidRDefault="003D3190" w:rsidP="004732EE">
      <w:pPr>
        <w:pStyle w:val="ProductList-Body"/>
      </w:pPr>
      <w:r>
        <w:rPr>
          <w:b/>
          <w:color w:val="00188F"/>
        </w:rPr>
        <w:t>Temps d’Indisponibilité</w:t>
      </w:r>
      <w:r w:rsidRPr="00C07813">
        <w:rPr>
          <w:b/>
          <w:bCs/>
        </w:rPr>
        <w:t> </w:t>
      </w:r>
      <w:r w:rsidRPr="006E70DE">
        <w:rPr>
          <w:bCs/>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09A9A95" w14:textId="77777777" w:rsidR="004732EE" w:rsidRDefault="004732EE" w:rsidP="00A90E39">
      <w:pPr>
        <w:pStyle w:val="ProductList-Body"/>
        <w:rPr>
          <w:b/>
          <w:color w:val="00188F"/>
        </w:rPr>
      </w:pPr>
    </w:p>
    <w:p w14:paraId="781C79F3" w14:textId="54BFE3FF" w:rsidR="003D3190" w:rsidRDefault="003D3190" w:rsidP="00A90E39">
      <w:pPr>
        <w:pStyle w:val="ProductList-Body"/>
      </w:pPr>
      <w:r>
        <w:rPr>
          <w:b/>
          <w:color w:val="00188F"/>
        </w:rPr>
        <w:t>Pourcentage de Temps de Disponibilité Mensuel</w:t>
      </w:r>
      <w:r>
        <w:t> </w:t>
      </w:r>
      <w:r w:rsidRPr="006E70DE">
        <w:rPr>
          <w:bCs/>
        </w:rPr>
        <w:t>:</w:t>
      </w:r>
      <w:r w:rsidRPr="00C07813">
        <w:rPr>
          <w:b/>
          <w:bCs/>
        </w:rPr>
        <w:t xml:space="preserve"> </w:t>
      </w:r>
      <w:r>
        <w:t>Le Pourcentage de Temps de Disponibilité Mensuel est calculé à l’aide de la formule suivante </w:t>
      </w:r>
      <w:r w:rsidRPr="006E70DE">
        <w:t>:</w:t>
      </w:r>
    </w:p>
    <w:p w14:paraId="34A2F252" w14:textId="77777777" w:rsidR="00A90E39" w:rsidRPr="00C84C65" w:rsidRDefault="00A90E39" w:rsidP="00A90E39">
      <w:pPr>
        <w:pStyle w:val="ProductList-Body"/>
      </w:pPr>
    </w:p>
    <w:p w14:paraId="777F46E6" w14:textId="77777777" w:rsidR="003D3190" w:rsidRPr="002928A2" w:rsidRDefault="00065349"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2928A2"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2928A2"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bookmarkStart w:id="32" w:name="_Toc506981000"/>
    <w:bookmarkStart w:id="33" w:name="_Toc510793626"/>
    <w:bookmarkStart w:id="34" w:name="MicrosoftDynamics365forFianceandOpsBizEd"/>
    <w:p w14:paraId="51F70CD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EEA5008" w14:textId="77777777" w:rsidR="00992B6D" w:rsidRPr="00831967" w:rsidRDefault="00992B6D" w:rsidP="00992B6D">
      <w:pPr>
        <w:pStyle w:val="ProductList-Offering2Heading"/>
        <w:pBdr>
          <w:between w:val="single" w:sz="4" w:space="1" w:color="auto"/>
        </w:pBdr>
        <w:tabs>
          <w:tab w:val="clear" w:pos="360"/>
          <w:tab w:val="clear" w:pos="720"/>
          <w:tab w:val="clear" w:pos="1080"/>
        </w:tabs>
        <w:outlineLvl w:val="2"/>
      </w:pPr>
      <w:bookmarkStart w:id="35" w:name="_Toc24376584"/>
      <w:bookmarkStart w:id="36" w:name="MicrosoftDynamics365forFianceandOps"/>
      <w:bookmarkStart w:id="37" w:name="_Toc491629842"/>
      <w:bookmarkStart w:id="38" w:name="_Toc494721331"/>
      <w:bookmarkStart w:id="39" w:name="_Toc65680394"/>
      <w:bookmarkEnd w:id="24"/>
      <w:bookmarkEnd w:id="25"/>
      <w:bookmarkEnd w:id="32"/>
      <w:bookmarkEnd w:id="33"/>
      <w:bookmarkEnd w:id="34"/>
      <w:r>
        <w:t xml:space="preserve">Dynamics 365 </w:t>
      </w:r>
      <w:proofErr w:type="spellStart"/>
      <w:r>
        <w:t>Fraud</w:t>
      </w:r>
      <w:proofErr w:type="spellEnd"/>
      <w:r>
        <w:t xml:space="preserve"> Protection</w:t>
      </w:r>
      <w:bookmarkEnd w:id="35"/>
      <w:bookmarkEnd w:id="39"/>
    </w:p>
    <w:p w14:paraId="0E0D2597" w14:textId="77777777" w:rsidR="00992B6D" w:rsidRPr="00831967" w:rsidRDefault="00992B6D" w:rsidP="004732EE">
      <w:pPr>
        <w:pStyle w:val="ProductList-Body"/>
      </w:pPr>
      <w:r>
        <w:rPr>
          <w:b/>
          <w:color w:val="00188F"/>
        </w:rPr>
        <w:t>Temps d’Indisponibilité</w:t>
      </w:r>
      <w:r>
        <w:t> </w:t>
      </w:r>
      <w:r w:rsidRPr="00E1147A">
        <w:rPr>
          <w:b/>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5D336971" w14:textId="77777777" w:rsidR="004732EE" w:rsidRDefault="004732EE" w:rsidP="004732EE">
      <w:pPr>
        <w:pStyle w:val="ProductList-Body"/>
        <w:rPr>
          <w:b/>
          <w:color w:val="00188F"/>
        </w:rPr>
      </w:pPr>
    </w:p>
    <w:p w14:paraId="2967CDCD" w14:textId="69B1987A" w:rsidR="00992B6D" w:rsidRDefault="00992B6D" w:rsidP="004732EE">
      <w:pPr>
        <w:pStyle w:val="ProductList-Body"/>
      </w:pPr>
      <w:r>
        <w:rPr>
          <w:b/>
          <w:color w:val="00188F"/>
        </w:rPr>
        <w:lastRenderedPageBreak/>
        <w:t>Pourcentage de Temps de Disponibilité Mensuel</w:t>
      </w:r>
      <w:r>
        <w:t> </w:t>
      </w:r>
      <w:r w:rsidRPr="00E1147A">
        <w:rPr>
          <w:b/>
        </w:rPr>
        <w:t>:</w:t>
      </w:r>
      <w:r>
        <w:t xml:space="preserve"> le Pourcentage de Temps de Disponibilité Mensuel est calculé à l’aide de la formule suivante :</w:t>
      </w:r>
    </w:p>
    <w:p w14:paraId="3F3C4309" w14:textId="77777777" w:rsidR="0084633F" w:rsidRPr="00831967" w:rsidRDefault="0084633F" w:rsidP="004732EE">
      <w:pPr>
        <w:pStyle w:val="ProductList-Body"/>
      </w:pPr>
    </w:p>
    <w:p w14:paraId="057DFB43" w14:textId="77777777" w:rsidR="00992B6D" w:rsidRPr="00831967" w:rsidRDefault="00065349" w:rsidP="00992B6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dans le Mois -#Minutes pendant lesquelles le service DFP n'est pas disponible </m:t>
              </m:r>
            </m:num>
            <m:den>
              <m:r>
                <w:rPr>
                  <w:rFonts w:ascii="Cambria Math" w:hAnsi="Cambria Math" w:cs="Calibri"/>
                  <w:sz w:val="18"/>
                  <w:szCs w:val="18"/>
                </w:rPr>
                <m:t>#Minutes dans le Mois</m:t>
              </m:r>
            </m:den>
          </m:f>
          <m:r>
            <w:rPr>
              <w:rFonts w:ascii="Cambria Math" w:hAnsi="Cambria Math" w:cs="Calibri"/>
              <w:sz w:val="18"/>
              <w:szCs w:val="18"/>
            </w:rPr>
            <m:t xml:space="preserve"> x 100</m:t>
          </m:r>
        </m:oMath>
      </m:oMathPara>
    </w:p>
    <w:p w14:paraId="4D1CE52C" w14:textId="77777777" w:rsidR="00992B6D" w:rsidRPr="00831967" w:rsidRDefault="00992B6D" w:rsidP="00992B6D">
      <w:pPr>
        <w:pStyle w:val="ProductList-Body"/>
      </w:pPr>
      <w:r>
        <w:t>où, dans un intervalle de minutes donné, le service est dit disponible si le test ping de surveillance effectué avec succès sur le service passe par son DNS externe.</w:t>
      </w:r>
    </w:p>
    <w:p w14:paraId="5E69FDC2" w14:textId="77777777" w:rsidR="004732EE" w:rsidRDefault="004732EE" w:rsidP="00992B6D">
      <w:pPr>
        <w:pStyle w:val="ProductList-Body"/>
        <w:rPr>
          <w:b/>
          <w:color w:val="00188F"/>
        </w:rPr>
      </w:pPr>
    </w:p>
    <w:p w14:paraId="11419921" w14:textId="18610E30" w:rsidR="00992B6D" w:rsidRPr="00831967" w:rsidRDefault="00992B6D" w:rsidP="00992B6D">
      <w:pPr>
        <w:pStyle w:val="ProductList-Body"/>
      </w:pPr>
      <w:r>
        <w:rPr>
          <w:b/>
          <w:color w:val="00188F"/>
        </w:rPr>
        <w:t>Avoir Service</w:t>
      </w:r>
      <w:r>
        <w:t> </w:t>
      </w:r>
      <w:r w:rsidRPr="00E114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2B6D" w:rsidRPr="00B44CF9" w14:paraId="2D5C060A" w14:textId="77777777" w:rsidTr="00821000">
        <w:trPr>
          <w:tblHeader/>
        </w:trPr>
        <w:tc>
          <w:tcPr>
            <w:tcW w:w="5400" w:type="dxa"/>
            <w:shd w:val="clear" w:color="auto" w:fill="0072C6"/>
          </w:tcPr>
          <w:p w14:paraId="1C9C2F01" w14:textId="77777777" w:rsidR="00992B6D" w:rsidRPr="00EF7CF9" w:rsidRDefault="00992B6D"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C3ECB1" w14:textId="77777777" w:rsidR="00992B6D" w:rsidRPr="00EF7CF9" w:rsidRDefault="00992B6D" w:rsidP="00821000">
            <w:pPr>
              <w:pStyle w:val="ProductList-OfferingBody"/>
              <w:jc w:val="center"/>
              <w:rPr>
                <w:color w:val="FFFFFF" w:themeColor="background1"/>
              </w:rPr>
            </w:pPr>
            <w:r>
              <w:rPr>
                <w:color w:val="FFFFFF" w:themeColor="background1"/>
              </w:rPr>
              <w:t>Avoir Service</w:t>
            </w:r>
          </w:p>
        </w:tc>
      </w:tr>
      <w:tr w:rsidR="00992B6D" w:rsidRPr="00B44CF9" w14:paraId="43B17C7D" w14:textId="77777777" w:rsidTr="00821000">
        <w:tc>
          <w:tcPr>
            <w:tcW w:w="5400" w:type="dxa"/>
          </w:tcPr>
          <w:p w14:paraId="3E6068E7" w14:textId="77777777" w:rsidR="00992B6D" w:rsidRPr="00EF7CF9" w:rsidRDefault="00992B6D" w:rsidP="00821000">
            <w:pPr>
              <w:pStyle w:val="ProductList-OfferingBody"/>
              <w:jc w:val="center"/>
            </w:pPr>
            <w:r>
              <w:t>&lt; 99,9 %</w:t>
            </w:r>
          </w:p>
        </w:tc>
        <w:tc>
          <w:tcPr>
            <w:tcW w:w="5400" w:type="dxa"/>
          </w:tcPr>
          <w:p w14:paraId="13A53366" w14:textId="77777777" w:rsidR="00992B6D" w:rsidRPr="00EF7CF9" w:rsidRDefault="00992B6D" w:rsidP="00821000">
            <w:pPr>
              <w:pStyle w:val="ProductList-OfferingBody"/>
              <w:jc w:val="center"/>
            </w:pPr>
            <w:r>
              <w:t>25%</w:t>
            </w:r>
          </w:p>
        </w:tc>
      </w:tr>
      <w:tr w:rsidR="00992B6D" w:rsidRPr="00B44CF9" w14:paraId="6A799A32" w14:textId="77777777" w:rsidTr="00821000">
        <w:tc>
          <w:tcPr>
            <w:tcW w:w="5400" w:type="dxa"/>
          </w:tcPr>
          <w:p w14:paraId="0B01963D" w14:textId="77777777" w:rsidR="00992B6D" w:rsidRPr="00EF7CF9" w:rsidRDefault="00992B6D" w:rsidP="00821000">
            <w:pPr>
              <w:pStyle w:val="ProductList-OfferingBody"/>
              <w:jc w:val="center"/>
            </w:pPr>
            <w:r>
              <w:t>&lt; 99 %</w:t>
            </w:r>
          </w:p>
        </w:tc>
        <w:tc>
          <w:tcPr>
            <w:tcW w:w="5400" w:type="dxa"/>
          </w:tcPr>
          <w:p w14:paraId="56ED58EF" w14:textId="77777777" w:rsidR="00992B6D" w:rsidRPr="00EF7CF9" w:rsidRDefault="00992B6D" w:rsidP="00821000">
            <w:pPr>
              <w:pStyle w:val="ProductList-OfferingBody"/>
              <w:jc w:val="center"/>
            </w:pPr>
            <w:r>
              <w:t>50%</w:t>
            </w:r>
          </w:p>
        </w:tc>
      </w:tr>
      <w:tr w:rsidR="00992B6D" w:rsidRPr="00B44CF9" w14:paraId="0710D203" w14:textId="77777777" w:rsidTr="00821000">
        <w:tc>
          <w:tcPr>
            <w:tcW w:w="5400" w:type="dxa"/>
          </w:tcPr>
          <w:p w14:paraId="561D540B" w14:textId="77777777" w:rsidR="00992B6D" w:rsidRPr="00EF7CF9" w:rsidRDefault="00992B6D" w:rsidP="00821000">
            <w:pPr>
              <w:pStyle w:val="ProductList-OfferingBody"/>
              <w:jc w:val="center"/>
            </w:pPr>
            <w:r>
              <w:t>&lt; 95 %</w:t>
            </w:r>
          </w:p>
        </w:tc>
        <w:tc>
          <w:tcPr>
            <w:tcW w:w="5400" w:type="dxa"/>
          </w:tcPr>
          <w:p w14:paraId="3E2E08B5" w14:textId="77777777" w:rsidR="00992B6D" w:rsidRPr="00EF7CF9" w:rsidRDefault="00992B6D" w:rsidP="00821000">
            <w:pPr>
              <w:pStyle w:val="ProductList-OfferingBody"/>
              <w:jc w:val="center"/>
            </w:pPr>
            <w:r>
              <w:t>100%</w:t>
            </w:r>
          </w:p>
        </w:tc>
      </w:tr>
    </w:tbl>
    <w:p w14:paraId="2B5570CB" w14:textId="77777777" w:rsidR="00992B6D" w:rsidRPr="00831967" w:rsidRDefault="00065349" w:rsidP="00992B6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992B6D">
          <w:rPr>
            <w:rStyle w:val="Hyperlink"/>
            <w:sz w:val="16"/>
            <w:szCs w:val="16"/>
          </w:rPr>
          <w:t>Table des matières</w:t>
        </w:r>
      </w:hyperlink>
      <w:r w:rsidR="00992B6D">
        <w:rPr>
          <w:sz w:val="16"/>
          <w:szCs w:val="16"/>
        </w:rPr>
        <w:t xml:space="preserve"> / </w:t>
      </w:r>
      <w:hyperlink w:anchor="_top" w:tooltip="Définitions" w:history="1">
        <w:r w:rsidR="00992B6D">
          <w:rPr>
            <w:rStyle w:val="Hyperlink"/>
            <w:sz w:val="16"/>
            <w:szCs w:val="16"/>
          </w:rPr>
          <w:t>Définitions</w:t>
        </w:r>
      </w:hyperlink>
    </w:p>
    <w:p w14:paraId="4103A158"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40" w:name="_Toc65680395"/>
      <w:r w:rsidRPr="0086228D">
        <w:rPr>
          <w:lang w:val="en-US"/>
        </w:rPr>
        <w:t xml:space="preserve">Dynamics 365 </w:t>
      </w:r>
      <w:r>
        <w:t xml:space="preserve">Human </w:t>
      </w:r>
      <w:proofErr w:type="spellStart"/>
      <w:r>
        <w:t>Resources</w:t>
      </w:r>
      <w:bookmarkEnd w:id="40"/>
      <w:proofErr w:type="spellEnd"/>
    </w:p>
    <w:p w14:paraId="4351927F" w14:textId="77777777" w:rsidR="00B66EB9" w:rsidRPr="00DE201A" w:rsidRDefault="00B66EB9" w:rsidP="00B66EB9">
      <w:pPr>
        <w:pStyle w:val="ProductList-Body"/>
      </w:pPr>
      <w:r>
        <w:rPr>
          <w:b/>
          <w:color w:val="00188F"/>
        </w:rPr>
        <w:t>Définitions supplémentaires </w:t>
      </w:r>
      <w:r w:rsidRPr="006E70DE">
        <w:t>:</w:t>
      </w:r>
    </w:p>
    <w:p w14:paraId="2B6DF0B3" w14:textId="77777777" w:rsidR="00B66EB9" w:rsidRPr="00DE201A" w:rsidRDefault="00B66EB9" w:rsidP="00B66EB9">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une base de données active à laquelle les utilisateurs peuvent se connecter.</w:t>
      </w:r>
    </w:p>
    <w:p w14:paraId="33B7BF58" w14:textId="77777777" w:rsidR="00B66EB9" w:rsidRPr="00DE201A" w:rsidRDefault="00B66EB9" w:rsidP="00B66EB9">
      <w:pPr>
        <w:pStyle w:val="ProductList-Body"/>
      </w:pPr>
    </w:p>
    <w:p w14:paraId="2B347547" w14:textId="77777777" w:rsidR="00B66EB9" w:rsidRPr="00DE201A" w:rsidRDefault="00B66EB9" w:rsidP="004732EE">
      <w:pPr>
        <w:pStyle w:val="ProductList-Body"/>
      </w:pPr>
      <w:r>
        <w:rPr>
          <w:b/>
          <w:color w:val="00188F"/>
        </w:rPr>
        <w:t>Temps d’Indisponibilité</w:t>
      </w:r>
      <w:r>
        <w:t> </w:t>
      </w:r>
      <w:r w:rsidRPr="006E70DE">
        <w:rPr>
          <w:bCs/>
        </w:rPr>
        <w:t>:</w:t>
      </w:r>
      <w:r>
        <w:t xml:space="preserve"> 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18B12EF8" w14:textId="77777777" w:rsidR="004732EE" w:rsidRDefault="004732EE" w:rsidP="00B66EB9">
      <w:pPr>
        <w:pStyle w:val="ProductList-Body"/>
        <w:rPr>
          <w:b/>
          <w:color w:val="00188F"/>
        </w:rPr>
      </w:pPr>
    </w:p>
    <w:p w14:paraId="1683E443" w14:textId="4DF70615" w:rsidR="00B66EB9" w:rsidRPr="00DE201A" w:rsidRDefault="00B66EB9" w:rsidP="00B66EB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CD88C0B" w14:textId="77777777" w:rsidR="00B66EB9" w:rsidRPr="00BB3E44" w:rsidRDefault="00065349" w:rsidP="00B66EB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7A817A8D" w14:textId="77777777" w:rsidR="00B66EB9" w:rsidRPr="00DE201A"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4477D64" w14:textId="77777777" w:rsidR="00B66EB9" w:rsidRPr="00DE201A" w:rsidRDefault="00B66EB9" w:rsidP="00B66EB9">
      <w:pPr>
        <w:pStyle w:val="ProductList-Body"/>
      </w:pPr>
    </w:p>
    <w:p w14:paraId="55A23D11" w14:textId="77777777" w:rsidR="00B66EB9" w:rsidRPr="00DE201A" w:rsidRDefault="00B66EB9" w:rsidP="0082100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7BCA49C2" w14:textId="77777777" w:rsidTr="00821000">
        <w:trPr>
          <w:tblHeader/>
        </w:trPr>
        <w:tc>
          <w:tcPr>
            <w:tcW w:w="5400" w:type="dxa"/>
            <w:shd w:val="clear" w:color="auto" w:fill="0072C6"/>
          </w:tcPr>
          <w:p w14:paraId="4C0DA9EA"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33C4FB2"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7B12FEFD" w14:textId="77777777" w:rsidTr="00821000">
        <w:tc>
          <w:tcPr>
            <w:tcW w:w="5400" w:type="dxa"/>
          </w:tcPr>
          <w:p w14:paraId="1A7C9F79" w14:textId="77777777" w:rsidR="00B66EB9" w:rsidRPr="0076238C" w:rsidRDefault="00B66EB9" w:rsidP="00821000">
            <w:pPr>
              <w:pStyle w:val="ProductList-OfferingBody"/>
              <w:jc w:val="center"/>
            </w:pPr>
            <w:r>
              <w:t>&lt; 99,5 %</w:t>
            </w:r>
          </w:p>
        </w:tc>
        <w:tc>
          <w:tcPr>
            <w:tcW w:w="5400" w:type="dxa"/>
          </w:tcPr>
          <w:p w14:paraId="39FEB282" w14:textId="77777777" w:rsidR="00B66EB9" w:rsidRPr="0076238C" w:rsidRDefault="00B66EB9" w:rsidP="00821000">
            <w:pPr>
              <w:pStyle w:val="ProductList-OfferingBody"/>
              <w:jc w:val="center"/>
            </w:pPr>
            <w:r>
              <w:t>25 %</w:t>
            </w:r>
          </w:p>
        </w:tc>
      </w:tr>
      <w:tr w:rsidR="00B66EB9" w:rsidRPr="002928A2" w14:paraId="188B0E9A" w14:textId="77777777" w:rsidTr="00821000">
        <w:tc>
          <w:tcPr>
            <w:tcW w:w="5400" w:type="dxa"/>
          </w:tcPr>
          <w:p w14:paraId="22CD20FB" w14:textId="77777777" w:rsidR="00B66EB9" w:rsidRPr="0076238C" w:rsidRDefault="00B66EB9" w:rsidP="00821000">
            <w:pPr>
              <w:pStyle w:val="ProductList-OfferingBody"/>
              <w:jc w:val="center"/>
            </w:pPr>
            <w:r>
              <w:t>&lt; 99 %</w:t>
            </w:r>
          </w:p>
        </w:tc>
        <w:tc>
          <w:tcPr>
            <w:tcW w:w="5400" w:type="dxa"/>
          </w:tcPr>
          <w:p w14:paraId="3276F468" w14:textId="77777777" w:rsidR="00B66EB9" w:rsidRPr="0076238C" w:rsidRDefault="00B66EB9" w:rsidP="00821000">
            <w:pPr>
              <w:pStyle w:val="ProductList-OfferingBody"/>
              <w:jc w:val="center"/>
            </w:pPr>
            <w:r>
              <w:t>50 %</w:t>
            </w:r>
          </w:p>
        </w:tc>
      </w:tr>
      <w:tr w:rsidR="00B66EB9" w:rsidRPr="002928A2" w14:paraId="3B4CD81F" w14:textId="77777777" w:rsidTr="00821000">
        <w:tc>
          <w:tcPr>
            <w:tcW w:w="5400" w:type="dxa"/>
          </w:tcPr>
          <w:p w14:paraId="29BBF51A" w14:textId="77777777" w:rsidR="00B66EB9" w:rsidRPr="0076238C" w:rsidRDefault="00B66EB9" w:rsidP="00821000">
            <w:pPr>
              <w:pStyle w:val="ProductList-OfferingBody"/>
              <w:jc w:val="center"/>
            </w:pPr>
            <w:r>
              <w:t>&lt; 95 %</w:t>
            </w:r>
          </w:p>
        </w:tc>
        <w:tc>
          <w:tcPr>
            <w:tcW w:w="5400" w:type="dxa"/>
          </w:tcPr>
          <w:p w14:paraId="2AB6A10A" w14:textId="77777777" w:rsidR="00B66EB9" w:rsidRPr="0076238C" w:rsidRDefault="00B66EB9" w:rsidP="00821000">
            <w:pPr>
              <w:pStyle w:val="ProductList-OfferingBody"/>
              <w:jc w:val="center"/>
            </w:pPr>
            <w:r>
              <w:t>100 %</w:t>
            </w:r>
          </w:p>
        </w:tc>
      </w:tr>
    </w:tbl>
    <w:p w14:paraId="0E0BEEC9" w14:textId="77777777" w:rsidR="00B66EB9" w:rsidRPr="00FB368F" w:rsidRDefault="00065349"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27D562AE" w14:textId="77777777" w:rsidR="00821000" w:rsidRPr="00CF31D1" w:rsidRDefault="00821000" w:rsidP="00821000">
      <w:pPr>
        <w:pStyle w:val="ProductList-Offering2Heading"/>
        <w:pBdr>
          <w:between w:val="single" w:sz="4" w:space="1" w:color="auto"/>
        </w:pBdr>
        <w:tabs>
          <w:tab w:val="clear" w:pos="360"/>
          <w:tab w:val="clear" w:pos="720"/>
          <w:tab w:val="clear" w:pos="1080"/>
        </w:tabs>
        <w:outlineLvl w:val="2"/>
      </w:pPr>
      <w:bookmarkStart w:id="41" w:name="_Toc45621200"/>
      <w:bookmarkStart w:id="42" w:name="_Toc65680396"/>
      <w:r>
        <w:t xml:space="preserve">Dynamics 365 </w:t>
      </w:r>
      <w:proofErr w:type="spellStart"/>
      <w:r>
        <w:t>Remote</w:t>
      </w:r>
      <w:proofErr w:type="spellEnd"/>
      <w:r>
        <w:t xml:space="preserve"> Assist</w:t>
      </w:r>
      <w:bookmarkEnd w:id="41"/>
      <w:bookmarkEnd w:id="42"/>
    </w:p>
    <w:p w14:paraId="40376D0D" w14:textId="77777777" w:rsidR="00821000" w:rsidRPr="00CF31D1" w:rsidRDefault="00821000" w:rsidP="00821000">
      <w:pPr>
        <w:pStyle w:val="ProductList-Body"/>
      </w:pPr>
      <w:r>
        <w:rPr>
          <w:b/>
          <w:color w:val="00188F"/>
        </w:rPr>
        <w:t>Définitions supplémentaires</w:t>
      </w:r>
      <w:r>
        <w:t> </w:t>
      </w:r>
      <w:r w:rsidRPr="00397983">
        <w:rPr>
          <w:b/>
          <w:bCs/>
        </w:rPr>
        <w:t>:</w:t>
      </w:r>
    </w:p>
    <w:p w14:paraId="295F5C46" w14:textId="77777777" w:rsidR="00821000" w:rsidRPr="00CF31D1" w:rsidRDefault="00821000" w:rsidP="00821000">
      <w:pPr>
        <w:pStyle w:val="ProductList-Body"/>
      </w:pPr>
      <w:r>
        <w:rPr>
          <w:b/>
          <w:color w:val="00188F"/>
        </w:rPr>
        <w:t>Temps d’Indisponibilité</w:t>
      </w:r>
      <w:r>
        <w:t> </w:t>
      </w:r>
      <w:r w:rsidRPr="00397983">
        <w:rPr>
          <w:b/>
          <w:bCs/>
        </w:rPr>
        <w:t>:</w:t>
      </w:r>
      <w:r>
        <w:t xml:space="preserve"> Toute période au cours de laquelle les utilisateurs finaux ne sont pas en mesure de mener des conversations de messagerie instantanée, ou de lancer des appels ou d'y participer.*</w:t>
      </w:r>
    </w:p>
    <w:p w14:paraId="698B1DE7" w14:textId="77777777" w:rsidR="004732EE" w:rsidRDefault="004732EE" w:rsidP="00821000">
      <w:pPr>
        <w:pStyle w:val="ProductList-Body"/>
        <w:rPr>
          <w:b/>
          <w:color w:val="00188F"/>
        </w:rPr>
      </w:pPr>
    </w:p>
    <w:p w14:paraId="4A63A705" w14:textId="6063A3AD" w:rsidR="00821000" w:rsidRPr="00CF31D1" w:rsidRDefault="00821000" w:rsidP="00821000">
      <w:pPr>
        <w:pStyle w:val="ProductList-Body"/>
      </w:pPr>
      <w:r>
        <w:rPr>
          <w:b/>
          <w:color w:val="00188F"/>
        </w:rPr>
        <w:t>Pourcentage de Temps de Disponibilité Mensuel</w:t>
      </w:r>
      <w:r>
        <w:t> </w:t>
      </w:r>
      <w:r w:rsidRPr="00397983">
        <w:rPr>
          <w:b/>
          <w:bCs/>
        </w:rPr>
        <w:t>:</w:t>
      </w:r>
      <w:r>
        <w:t xml:space="preserve"> le Pourcentage de Temps de Disponibilité Mensuel est calculé à l’aide de la formule suivante :</w:t>
      </w:r>
    </w:p>
    <w:p w14:paraId="6C0B507E" w14:textId="77777777" w:rsidR="00821000" w:rsidRPr="00CF31D1" w:rsidRDefault="00821000" w:rsidP="00821000">
      <w:pPr>
        <w:pStyle w:val="ProductList-Body"/>
      </w:pPr>
    </w:p>
    <w:p w14:paraId="091BDE46" w14:textId="77777777" w:rsidR="00821000" w:rsidRPr="00CF31D1" w:rsidRDefault="00065349" w:rsidP="0082100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D2AD782" w14:textId="77777777" w:rsidR="00821000" w:rsidRPr="00CF31D1" w:rsidRDefault="00821000" w:rsidP="008210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F9A52EB" w14:textId="77777777" w:rsidR="00821000" w:rsidRPr="00CF31D1" w:rsidRDefault="00821000" w:rsidP="00821000">
      <w:pPr>
        <w:pStyle w:val="ProductList-Body"/>
      </w:pPr>
    </w:p>
    <w:p w14:paraId="1E6BE028" w14:textId="77777777" w:rsidR="00821000" w:rsidRPr="00CF31D1" w:rsidRDefault="00821000" w:rsidP="00821000">
      <w:pPr>
        <w:pStyle w:val="ProductList-Body"/>
      </w:pPr>
      <w:r>
        <w:rPr>
          <w:i/>
          <w:iCs/>
        </w:rPr>
        <w:t>*Conversations par messagerie instantanée disponibles uniquement sur certaines plateformes</w:t>
      </w:r>
    </w:p>
    <w:p w14:paraId="2B832FC1" w14:textId="77777777" w:rsidR="00821000" w:rsidRPr="00CF31D1" w:rsidRDefault="00821000" w:rsidP="00821000">
      <w:pPr>
        <w:pStyle w:val="ProductList-Body"/>
      </w:pPr>
    </w:p>
    <w:p w14:paraId="62CBD50E" w14:textId="77777777" w:rsidR="00821000" w:rsidRPr="00CF31D1" w:rsidRDefault="00821000" w:rsidP="00821000">
      <w:pPr>
        <w:pStyle w:val="ProductList-Body"/>
      </w:pPr>
      <w:r>
        <w:rPr>
          <w:b/>
          <w:color w:val="00188F"/>
        </w:rPr>
        <w:t>Avoir Service</w:t>
      </w:r>
      <w:r>
        <w:t> </w:t>
      </w:r>
      <w:r w:rsidRPr="00302F9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000" w:rsidRPr="00B44CF9" w14:paraId="1B42CDD3" w14:textId="77777777" w:rsidTr="00821000">
        <w:trPr>
          <w:tblHeader/>
        </w:trPr>
        <w:tc>
          <w:tcPr>
            <w:tcW w:w="5400" w:type="dxa"/>
            <w:shd w:val="clear" w:color="auto" w:fill="0072C6"/>
          </w:tcPr>
          <w:p w14:paraId="40B9610A" w14:textId="77777777" w:rsidR="00821000" w:rsidRPr="00EF7CF9" w:rsidRDefault="00821000"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CC8624" w14:textId="77777777" w:rsidR="00821000" w:rsidRPr="00EF7CF9" w:rsidRDefault="00821000" w:rsidP="00821000">
            <w:pPr>
              <w:pStyle w:val="ProductList-OfferingBody"/>
              <w:jc w:val="center"/>
              <w:rPr>
                <w:color w:val="FFFFFF" w:themeColor="background1"/>
              </w:rPr>
            </w:pPr>
            <w:r>
              <w:rPr>
                <w:color w:val="FFFFFF" w:themeColor="background1"/>
              </w:rPr>
              <w:t>Avoir Service</w:t>
            </w:r>
          </w:p>
        </w:tc>
      </w:tr>
      <w:tr w:rsidR="00821000" w:rsidRPr="00B44CF9" w14:paraId="188E7032" w14:textId="77777777" w:rsidTr="00821000">
        <w:tc>
          <w:tcPr>
            <w:tcW w:w="5400" w:type="dxa"/>
          </w:tcPr>
          <w:p w14:paraId="6CDEDAB6" w14:textId="77777777" w:rsidR="00821000" w:rsidRPr="00EF7CF9" w:rsidRDefault="00821000" w:rsidP="00821000">
            <w:pPr>
              <w:pStyle w:val="ProductList-OfferingBody"/>
              <w:jc w:val="center"/>
            </w:pPr>
            <w:r>
              <w:t>&lt; 99,9 %</w:t>
            </w:r>
          </w:p>
        </w:tc>
        <w:tc>
          <w:tcPr>
            <w:tcW w:w="5400" w:type="dxa"/>
          </w:tcPr>
          <w:p w14:paraId="3C7967C3" w14:textId="77777777" w:rsidR="00821000" w:rsidRPr="00EF7CF9" w:rsidRDefault="00821000" w:rsidP="00821000">
            <w:pPr>
              <w:pStyle w:val="ProductList-OfferingBody"/>
              <w:jc w:val="center"/>
            </w:pPr>
            <w:r>
              <w:t>25 %</w:t>
            </w:r>
          </w:p>
        </w:tc>
      </w:tr>
      <w:tr w:rsidR="00821000" w:rsidRPr="00B44CF9" w14:paraId="0FE73B81" w14:textId="77777777" w:rsidTr="00821000">
        <w:tc>
          <w:tcPr>
            <w:tcW w:w="5400" w:type="dxa"/>
          </w:tcPr>
          <w:p w14:paraId="2B72E52A" w14:textId="77777777" w:rsidR="00821000" w:rsidRPr="00EF7CF9" w:rsidRDefault="00821000" w:rsidP="00821000">
            <w:pPr>
              <w:pStyle w:val="ProductList-OfferingBody"/>
              <w:jc w:val="center"/>
            </w:pPr>
            <w:r>
              <w:lastRenderedPageBreak/>
              <w:t>&lt; 99 %</w:t>
            </w:r>
          </w:p>
        </w:tc>
        <w:tc>
          <w:tcPr>
            <w:tcW w:w="5400" w:type="dxa"/>
          </w:tcPr>
          <w:p w14:paraId="71CE3C2B" w14:textId="77777777" w:rsidR="00821000" w:rsidRPr="00EF7CF9" w:rsidRDefault="00821000" w:rsidP="00821000">
            <w:pPr>
              <w:pStyle w:val="ProductList-OfferingBody"/>
              <w:jc w:val="center"/>
            </w:pPr>
            <w:r>
              <w:t>50 %</w:t>
            </w:r>
          </w:p>
        </w:tc>
      </w:tr>
    </w:tbl>
    <w:p w14:paraId="34E27D56" w14:textId="77777777" w:rsidR="00821000" w:rsidRPr="00CF31D1" w:rsidRDefault="00065349" w:rsidP="00821000">
      <w:pPr>
        <w:pStyle w:val="ProductList-Body"/>
        <w:shd w:val="clear" w:color="auto" w:fill="808080" w:themeFill="background1" w:themeFillShade="80"/>
        <w:spacing w:before="120" w:after="240"/>
        <w:jc w:val="right"/>
      </w:pPr>
      <w:hyperlink w:anchor="Tables des matières" w:tooltip="Table des matières" w:history="1">
        <w:r w:rsidR="00821000">
          <w:rPr>
            <w:rStyle w:val="Hyperlink"/>
            <w:sz w:val="16"/>
            <w:szCs w:val="16"/>
          </w:rPr>
          <w:t>Table des matières</w:t>
        </w:r>
      </w:hyperlink>
      <w:r w:rsidR="00821000">
        <w:rPr>
          <w:sz w:val="16"/>
          <w:szCs w:val="16"/>
        </w:rPr>
        <w:t xml:space="preserve"> / </w:t>
      </w:r>
      <w:hyperlink w:anchor="Définitions" w:tooltip="Définitions" w:history="1">
        <w:r w:rsidR="00821000">
          <w:rPr>
            <w:rStyle w:val="Hyperlink"/>
            <w:sz w:val="16"/>
            <w:szCs w:val="16"/>
          </w:rPr>
          <w:t>Définitions</w:t>
        </w:r>
      </w:hyperlink>
    </w:p>
    <w:p w14:paraId="7CC609CB"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43" w:name="_Toc65680397"/>
      <w:r w:rsidRPr="0086228D">
        <w:rPr>
          <w:lang w:val="en-US"/>
        </w:rPr>
        <w:t>Dynamics 365 Sales Enterprise ; Dynamics 365 Sales Professional</w:t>
      </w:r>
      <w:bookmarkEnd w:id="43"/>
    </w:p>
    <w:p w14:paraId="5472A8DB" w14:textId="77777777" w:rsidR="00B66EB9" w:rsidRPr="00FB368F" w:rsidRDefault="00B66EB9" w:rsidP="00B66EB9">
      <w:pPr>
        <w:pStyle w:val="ProductList-Body"/>
      </w:pPr>
      <w:r>
        <w:rPr>
          <w:b/>
          <w:color w:val="00188F"/>
        </w:rPr>
        <w:t>Temps d’Indisponibilité</w:t>
      </w:r>
      <w:r>
        <w:t> </w:t>
      </w:r>
      <w:r w:rsidRPr="006E70DE">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4DC4B9FE" w14:textId="77777777" w:rsidR="00B66EB9" w:rsidRPr="00FB368F" w:rsidRDefault="00B66EB9" w:rsidP="00B66EB9">
      <w:pPr>
        <w:pStyle w:val="ProductList-Body"/>
      </w:pPr>
    </w:p>
    <w:p w14:paraId="0F201659" w14:textId="77777777" w:rsidR="00B66EB9" w:rsidRPr="00FB368F" w:rsidRDefault="00B66EB9" w:rsidP="00B66EB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D061C56" w14:textId="77777777" w:rsidR="00B66EB9" w:rsidRPr="00FB368F" w:rsidRDefault="00B66EB9" w:rsidP="00B66EB9">
      <w:pPr>
        <w:pStyle w:val="ProductList-Body"/>
      </w:pPr>
    </w:p>
    <w:p w14:paraId="4E79FE6F" w14:textId="77777777" w:rsidR="00B66EB9" w:rsidRPr="002928A2" w:rsidRDefault="00065349" w:rsidP="00B66EB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3922D772" w14:textId="77777777" w:rsidR="00B66EB9" w:rsidRPr="00FB368F"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AFF234" w14:textId="77777777" w:rsidR="00B66EB9" w:rsidRPr="00FB368F" w:rsidRDefault="00B66EB9" w:rsidP="00B66EB9">
      <w:pPr>
        <w:pStyle w:val="ProductList-Body"/>
      </w:pPr>
    </w:p>
    <w:p w14:paraId="60EB7ACC" w14:textId="77777777" w:rsidR="00B66EB9" w:rsidRPr="00FB368F" w:rsidRDefault="00B66EB9" w:rsidP="00B66EB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3D1EC751" w14:textId="77777777" w:rsidTr="00821000">
        <w:trPr>
          <w:tblHeader/>
        </w:trPr>
        <w:tc>
          <w:tcPr>
            <w:tcW w:w="5400" w:type="dxa"/>
            <w:shd w:val="clear" w:color="auto" w:fill="0072C6"/>
          </w:tcPr>
          <w:p w14:paraId="44D2D002"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682A5C8"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4E633F6C" w14:textId="77777777" w:rsidTr="00821000">
        <w:tc>
          <w:tcPr>
            <w:tcW w:w="5400" w:type="dxa"/>
          </w:tcPr>
          <w:p w14:paraId="60D14A36" w14:textId="77777777" w:rsidR="00B66EB9" w:rsidRPr="0076238C" w:rsidRDefault="00B66EB9" w:rsidP="00821000">
            <w:pPr>
              <w:pStyle w:val="ProductList-OfferingBody"/>
              <w:jc w:val="center"/>
            </w:pPr>
            <w:r>
              <w:t>&lt; 99,9 %</w:t>
            </w:r>
          </w:p>
        </w:tc>
        <w:tc>
          <w:tcPr>
            <w:tcW w:w="5400" w:type="dxa"/>
          </w:tcPr>
          <w:p w14:paraId="5818E703" w14:textId="77777777" w:rsidR="00B66EB9" w:rsidRPr="0076238C" w:rsidRDefault="00B66EB9" w:rsidP="00821000">
            <w:pPr>
              <w:pStyle w:val="ProductList-OfferingBody"/>
              <w:jc w:val="center"/>
            </w:pPr>
            <w:r>
              <w:t>25 %</w:t>
            </w:r>
          </w:p>
        </w:tc>
      </w:tr>
      <w:tr w:rsidR="00B66EB9" w:rsidRPr="002928A2" w14:paraId="6CC89786" w14:textId="77777777" w:rsidTr="00821000">
        <w:tc>
          <w:tcPr>
            <w:tcW w:w="5400" w:type="dxa"/>
          </w:tcPr>
          <w:p w14:paraId="5084EA33" w14:textId="77777777" w:rsidR="00B66EB9" w:rsidRPr="0076238C" w:rsidRDefault="00B66EB9" w:rsidP="00821000">
            <w:pPr>
              <w:pStyle w:val="ProductList-OfferingBody"/>
              <w:jc w:val="center"/>
            </w:pPr>
            <w:r>
              <w:t>&lt; 99 %</w:t>
            </w:r>
          </w:p>
        </w:tc>
        <w:tc>
          <w:tcPr>
            <w:tcW w:w="5400" w:type="dxa"/>
          </w:tcPr>
          <w:p w14:paraId="161989CF" w14:textId="77777777" w:rsidR="00B66EB9" w:rsidRPr="0076238C" w:rsidRDefault="00B66EB9" w:rsidP="00821000">
            <w:pPr>
              <w:pStyle w:val="ProductList-OfferingBody"/>
              <w:jc w:val="center"/>
            </w:pPr>
            <w:r>
              <w:t>50 %</w:t>
            </w:r>
          </w:p>
        </w:tc>
      </w:tr>
      <w:tr w:rsidR="00B66EB9" w:rsidRPr="002928A2" w14:paraId="3BB8CDCE" w14:textId="77777777" w:rsidTr="00821000">
        <w:tc>
          <w:tcPr>
            <w:tcW w:w="5400" w:type="dxa"/>
          </w:tcPr>
          <w:p w14:paraId="6669DAE6" w14:textId="77777777" w:rsidR="00B66EB9" w:rsidRPr="0076238C" w:rsidRDefault="00B66EB9" w:rsidP="00821000">
            <w:pPr>
              <w:pStyle w:val="ProductList-OfferingBody"/>
              <w:jc w:val="center"/>
            </w:pPr>
            <w:r>
              <w:t>&lt; 95 %</w:t>
            </w:r>
          </w:p>
        </w:tc>
        <w:tc>
          <w:tcPr>
            <w:tcW w:w="5400" w:type="dxa"/>
          </w:tcPr>
          <w:p w14:paraId="05FFA710" w14:textId="77777777" w:rsidR="00B66EB9" w:rsidRPr="0076238C" w:rsidRDefault="00B66EB9" w:rsidP="00821000">
            <w:pPr>
              <w:pStyle w:val="ProductList-OfferingBody"/>
              <w:jc w:val="center"/>
            </w:pPr>
            <w:r>
              <w:t>100 %</w:t>
            </w:r>
          </w:p>
        </w:tc>
      </w:tr>
    </w:tbl>
    <w:p w14:paraId="3BBC2C21" w14:textId="77777777" w:rsidR="00B66EB9" w:rsidRPr="00FB368F" w:rsidRDefault="00065349"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14A96DCF" w14:textId="11DBF4BC" w:rsidR="003C2C35" w:rsidRPr="00F45379" w:rsidRDefault="003C2C35" w:rsidP="003C2C35">
      <w:pPr>
        <w:pStyle w:val="ProductList-Offering2Heading"/>
        <w:pBdr>
          <w:between w:val="single" w:sz="4" w:space="1" w:color="auto"/>
        </w:pBdr>
        <w:tabs>
          <w:tab w:val="clear" w:pos="360"/>
          <w:tab w:val="clear" w:pos="720"/>
          <w:tab w:val="clear" w:pos="1080"/>
        </w:tabs>
        <w:outlineLvl w:val="2"/>
        <w:rPr>
          <w:lang w:val="en-US"/>
        </w:rPr>
      </w:pPr>
      <w:bookmarkStart w:id="44" w:name="_Toc65680398"/>
      <w:r w:rsidRPr="00F45379">
        <w:rPr>
          <w:lang w:val="en-US"/>
        </w:rPr>
        <w:t xml:space="preserve">Dynamics 365 </w:t>
      </w:r>
      <w:bookmarkStart w:id="45" w:name="_Hlk19533710"/>
      <w:bookmarkEnd w:id="36"/>
      <w:bookmarkEnd w:id="37"/>
      <w:bookmarkEnd w:id="38"/>
      <w:proofErr w:type="spellStart"/>
      <w:r w:rsidR="00AE6FD3" w:rsidRPr="0022548E">
        <w:t>Supply</w:t>
      </w:r>
      <w:proofErr w:type="spellEnd"/>
      <w:r w:rsidR="00AE6FD3" w:rsidRPr="0022548E">
        <w:t xml:space="preserve"> Chain Management; Dynamics 365 Finance</w:t>
      </w:r>
      <w:bookmarkStart w:id="46" w:name="_Hlk51044510"/>
      <w:bookmarkEnd w:id="45"/>
      <w:r w:rsidR="00893F36" w:rsidRPr="00893F36">
        <w:rPr>
          <w:lang w:val="en-US"/>
        </w:rPr>
        <w:t>; Dynamics 365 Project Operations</w:t>
      </w:r>
      <w:bookmarkEnd w:id="44"/>
      <w:bookmarkEnd w:id="46"/>
    </w:p>
    <w:p w14:paraId="07190BBC" w14:textId="77777777" w:rsidR="00D146FB" w:rsidRPr="000E25B2" w:rsidRDefault="00D146FB" w:rsidP="00D146FB">
      <w:pPr>
        <w:pStyle w:val="ProductList-Body"/>
      </w:pPr>
      <w:r>
        <w:rPr>
          <w:b/>
          <w:color w:val="00188F"/>
        </w:rPr>
        <w:t>Définitions Supplémentaires</w:t>
      </w:r>
      <w:r>
        <w:t> </w:t>
      </w:r>
      <w:r w:rsidRPr="006E70DE">
        <w:rPr>
          <w:bCs/>
        </w:rPr>
        <w:t>:</w:t>
      </w:r>
    </w:p>
    <w:p w14:paraId="66E3CD03" w14:textId="77777777" w:rsidR="00D146FB" w:rsidRPr="000E25B2" w:rsidRDefault="00D146FB" w:rsidP="00D146FB">
      <w:pPr>
        <w:pStyle w:val="ProductList-Body"/>
        <w:tabs>
          <w:tab w:val="clear" w:pos="360"/>
          <w:tab w:val="clear" w:pos="720"/>
          <w:tab w:val="clear" w:pos="1080"/>
        </w:tabs>
        <w:spacing w:after="40"/>
      </w:pPr>
      <w:r w:rsidRPr="00426103">
        <w:rPr>
          <w:rFonts w:eastAsia="Segoe UI" w:cs="Segoe UI"/>
          <w:szCs w:val="18"/>
        </w:rPr>
        <w:t>«</w:t>
      </w:r>
      <w:r>
        <w:rPr>
          <w:rFonts w:eastAsia="Segoe UI" w:cs="Segoe UI"/>
          <w:szCs w:val="18"/>
        </w:rPr>
        <w:t> </w:t>
      </w:r>
      <w:r>
        <w:rPr>
          <w:rFonts w:eastAsia="Segoe UI" w:cs="Segoe UI"/>
          <w:b/>
          <w:color w:val="00188F"/>
          <w:szCs w:val="18"/>
        </w:rPr>
        <w:t>Tenant Actif</w:t>
      </w:r>
      <w:r>
        <w:rPr>
          <w:rFonts w:eastAsia="Segoe UI" w:cs="Segoe UI"/>
          <w:szCs w:val="18"/>
        </w:rPr>
        <w:t> </w:t>
      </w:r>
      <w:r w:rsidRPr="00426103">
        <w:rPr>
          <w:rFonts w:eastAsia="Segoe UI" w:cs="Segoe UI"/>
          <w:szCs w:val="18"/>
        </w:rPr>
        <w:t>»</w:t>
      </w:r>
      <w:r>
        <w:rPr>
          <w:rFonts w:eastAsia="Segoe UI" w:cs="Segoe UI"/>
          <w:szCs w:val="18"/>
        </w:rP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2928A2" w:rsidRDefault="00D146FB" w:rsidP="00D146FB">
      <w:pPr>
        <w:spacing w:after="40"/>
        <w:rPr>
          <w:sz w:val="18"/>
          <w:szCs w:val="18"/>
        </w:rPr>
      </w:pPr>
      <w:r w:rsidRPr="00426103">
        <w:rPr>
          <w:rFonts w:cs="Segoe UI"/>
          <w:sz w:val="18"/>
          <w:szCs w:val="18"/>
        </w:rPr>
        <w:t>«</w:t>
      </w:r>
      <w:r>
        <w:rPr>
          <w:rFonts w:cs="Segoe UI"/>
          <w:sz w:val="18"/>
          <w:szCs w:val="18"/>
        </w:rPr>
        <w:t> </w:t>
      </w:r>
      <w:r>
        <w:rPr>
          <w:rFonts w:cs="Segoe UI"/>
          <w:b/>
          <w:color w:val="00188F"/>
          <w:sz w:val="18"/>
          <w:szCs w:val="18"/>
        </w:rPr>
        <w:t>Service d'Application Partenaire</w:t>
      </w:r>
      <w:r>
        <w:rPr>
          <w:rFonts w:cs="Segoe UI"/>
          <w:sz w:val="18"/>
          <w:szCs w:val="18"/>
        </w:rPr>
        <w:t> </w:t>
      </w:r>
      <w:r w:rsidRPr="00426103">
        <w:rPr>
          <w:rFonts w:cs="Segoe UI"/>
          <w:sz w:val="18"/>
          <w:szCs w:val="18"/>
        </w:rPr>
        <w:t>»</w:t>
      </w:r>
      <w:r>
        <w:rPr>
          <w:rFonts w:cs="Segoe UI"/>
          <w:sz w:val="18"/>
          <w:szCs w:val="18"/>
        </w:rPr>
        <w:t xml:space="preserve">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sidRPr="00426103">
        <w:rPr>
          <w:szCs w:val="18"/>
        </w:rPr>
        <w:t>«</w:t>
      </w:r>
      <w:r>
        <w:rPr>
          <w:szCs w:val="18"/>
        </w:rPr>
        <w:t> </w:t>
      </w:r>
      <w:r>
        <w:rPr>
          <w:b/>
          <w:color w:val="00188F"/>
          <w:szCs w:val="18"/>
        </w:rPr>
        <w:t>Nombre Maximal de Minutes Disponibles</w:t>
      </w:r>
      <w:r>
        <w:rPr>
          <w:szCs w:val="18"/>
        </w:rPr>
        <w:t> </w:t>
      </w:r>
      <w:r w:rsidRPr="00426103">
        <w:rPr>
          <w:szCs w:val="18"/>
        </w:rPr>
        <w:t>»</w:t>
      </w:r>
      <w:r>
        <w:rPr>
          <w:szCs w:val="18"/>
        </w:rPr>
        <w:t xml:space="preserve">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sidRPr="00426103">
        <w:rPr>
          <w:rFonts w:cs="Segoe UI"/>
          <w:szCs w:val="18"/>
        </w:rPr>
        <w:t>«</w:t>
      </w:r>
      <w:r>
        <w:rPr>
          <w:rFonts w:cs="Segoe UI"/>
          <w:szCs w:val="18"/>
        </w:rPr>
        <w:t> </w:t>
      </w:r>
      <w:r>
        <w:rPr>
          <w:rFonts w:cs="Segoe UI"/>
          <w:b/>
          <w:color w:val="00188F"/>
          <w:szCs w:val="18"/>
        </w:rPr>
        <w:t>Plateforme</w:t>
      </w:r>
      <w:r>
        <w:rPr>
          <w:rFonts w:cs="Segoe UI"/>
          <w:szCs w:val="18"/>
        </w:rPr>
        <w:t> </w:t>
      </w:r>
      <w:r w:rsidRPr="00426103">
        <w:rPr>
          <w:rFonts w:cs="Segoe UI"/>
          <w:szCs w:val="18"/>
        </w:rPr>
        <w:t>»</w:t>
      </w:r>
      <w:r>
        <w:rPr>
          <w:rFonts w:cs="Segoe UI"/>
          <w:szCs w:val="18"/>
        </w:rP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sidRPr="00426103">
        <w:rPr>
          <w:szCs w:val="18"/>
        </w:rPr>
        <w:t>«</w:t>
      </w:r>
      <w:r>
        <w:rPr>
          <w:color w:val="000000" w:themeColor="text1"/>
          <w:szCs w:val="18"/>
        </w:rPr>
        <w:t> </w:t>
      </w:r>
      <w:r>
        <w:rPr>
          <w:b/>
          <w:bCs/>
          <w:color w:val="00188F"/>
          <w:szCs w:val="18"/>
        </w:rPr>
        <w:t>Unité d'Échelle</w:t>
      </w:r>
      <w:r>
        <w:rPr>
          <w:color w:val="000000" w:themeColor="text1"/>
          <w:szCs w:val="18"/>
        </w:rPr>
        <w:t> </w:t>
      </w:r>
      <w:r w:rsidRPr="00426103">
        <w:rPr>
          <w:szCs w:val="18"/>
        </w:rPr>
        <w:t>»</w:t>
      </w:r>
      <w:r>
        <w:rPr>
          <w:color w:val="000000" w:themeColor="text1"/>
          <w:szCs w:val="18"/>
        </w:rPr>
        <w:t xml:space="preserve">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sidRPr="00426103">
        <w:rPr>
          <w:szCs w:val="18"/>
        </w:rPr>
        <w:t>«</w:t>
      </w:r>
      <w:r>
        <w:rPr>
          <w:color w:val="000000" w:themeColor="text1"/>
          <w:szCs w:val="18"/>
        </w:rPr>
        <w:t> </w:t>
      </w:r>
      <w:r>
        <w:rPr>
          <w:b/>
          <w:color w:val="00188F"/>
          <w:szCs w:val="18"/>
        </w:rPr>
        <w:t>Infrastructure du Service</w:t>
      </w:r>
      <w:r>
        <w:rPr>
          <w:color w:val="000000" w:themeColor="text1"/>
          <w:szCs w:val="18"/>
        </w:rPr>
        <w:t> </w:t>
      </w:r>
      <w:r w:rsidRPr="00426103">
        <w:rPr>
          <w:szCs w:val="18"/>
        </w:rPr>
        <w:t>»</w:t>
      </w:r>
      <w:r>
        <w:rPr>
          <w:color w:val="000000" w:themeColor="text1"/>
          <w:szCs w:val="18"/>
        </w:rPr>
        <w:t xml:space="preserve">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6E70DE">
        <w:rPr>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7A37F30A" w14:textId="70E8B1A7" w:rsidR="00980B3D" w:rsidRDefault="00980B3D" w:rsidP="00980B3D">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29F4493B" w14:textId="77777777" w:rsidR="00A40F90" w:rsidRPr="00DE201A" w:rsidRDefault="00A40F90" w:rsidP="00980B3D">
      <w:pPr>
        <w:pStyle w:val="ProductList-Body"/>
      </w:pPr>
    </w:p>
    <w:p w14:paraId="4F73B2AE" w14:textId="77777777" w:rsidR="00980B3D" w:rsidRPr="0008786F" w:rsidRDefault="00065349"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249A945B" w14:textId="5B06A154" w:rsidR="00980B3D"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867F84C" w14:textId="77777777" w:rsidR="00980B3D" w:rsidRPr="00DE201A" w:rsidRDefault="00980B3D" w:rsidP="00980B3D">
      <w:pPr>
        <w:pStyle w:val="ProductList-Body"/>
      </w:pPr>
    </w:p>
    <w:p w14:paraId="22F912AF" w14:textId="77777777" w:rsidR="00D146FB" w:rsidRPr="000E25B2" w:rsidRDefault="00D146FB" w:rsidP="00D146FB">
      <w:pPr>
        <w:pStyle w:val="ProductList-Body"/>
      </w:pPr>
      <w:r>
        <w:rPr>
          <w:b/>
          <w:color w:val="00188F"/>
        </w:rPr>
        <w:lastRenderedPageBreak/>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2928A2"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2928A2" w14:paraId="4EB8B757" w14:textId="77777777" w:rsidTr="00183F48">
        <w:tc>
          <w:tcPr>
            <w:tcW w:w="5400" w:type="dxa"/>
          </w:tcPr>
          <w:p w14:paraId="2F216C63" w14:textId="28F83D83" w:rsidR="00D146FB" w:rsidRPr="0076238C" w:rsidRDefault="00D146FB" w:rsidP="00183F48">
            <w:pPr>
              <w:pStyle w:val="ProductList-OfferingBody"/>
              <w:jc w:val="center"/>
            </w:pPr>
            <w:r>
              <w:t>&lt; 99,</w:t>
            </w:r>
            <w:r w:rsidR="00362FF7">
              <w:t>9</w:t>
            </w:r>
            <w:r>
              <w:t> %</w:t>
            </w:r>
          </w:p>
        </w:tc>
        <w:tc>
          <w:tcPr>
            <w:tcW w:w="5400" w:type="dxa"/>
          </w:tcPr>
          <w:p w14:paraId="3047D4BA" w14:textId="77777777" w:rsidR="00D146FB" w:rsidRPr="0076238C" w:rsidRDefault="00D146FB" w:rsidP="00183F48">
            <w:pPr>
              <w:pStyle w:val="ProductList-OfferingBody"/>
              <w:jc w:val="center"/>
            </w:pPr>
            <w:r>
              <w:t>25%</w:t>
            </w:r>
          </w:p>
        </w:tc>
      </w:tr>
      <w:tr w:rsidR="00D146FB" w:rsidRPr="002928A2"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2928A2" w14:paraId="1B31834A" w14:textId="77777777" w:rsidTr="00183F48">
        <w:tc>
          <w:tcPr>
            <w:tcW w:w="5400" w:type="dxa"/>
          </w:tcPr>
          <w:p w14:paraId="5A180B88" w14:textId="77777777" w:rsidR="00D146FB" w:rsidRPr="0076238C" w:rsidRDefault="00D146FB" w:rsidP="004732EE">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bookmarkStart w:id="47" w:name="_Toc484160631"/>
    <w:bookmarkStart w:id="48" w:name="MicrosoftDynamics365forRetail"/>
    <w:bookmarkStart w:id="49" w:name="_Toc461003234"/>
    <w:bookmarkStart w:id="50" w:name="_Toc457821510"/>
    <w:bookmarkStart w:id="51" w:name="_Toc463347126"/>
    <w:p w14:paraId="7085B84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0DD0F59" w14:textId="3AA98812" w:rsidR="00774CA1" w:rsidRPr="005A6CF1" w:rsidRDefault="00774CA1" w:rsidP="00B6224B">
      <w:pPr>
        <w:pStyle w:val="ProductList-OfferingGroupHeading"/>
        <w:tabs>
          <w:tab w:val="clear" w:pos="360"/>
          <w:tab w:val="clear" w:pos="720"/>
          <w:tab w:val="clear" w:pos="1080"/>
        </w:tabs>
        <w:outlineLvl w:val="1"/>
        <w:rPr>
          <w:lang w:val="en-US" w:eastAsia="en-US" w:bidi="ar-SA"/>
        </w:rPr>
      </w:pPr>
      <w:bookmarkStart w:id="52" w:name="_Toc65680399"/>
      <w:bookmarkEnd w:id="47"/>
      <w:bookmarkEnd w:id="48"/>
      <w:bookmarkEnd w:id="49"/>
      <w:bookmarkEnd w:id="50"/>
      <w:bookmarkEnd w:id="51"/>
      <w:r w:rsidRPr="005A6CF1">
        <w:rPr>
          <w:lang w:val="en-US" w:eastAsia="en-US" w:bidi="ar-SA"/>
        </w:rPr>
        <w:t>Services Office 365</w:t>
      </w:r>
      <w:bookmarkEnd w:id="52"/>
    </w:p>
    <w:p w14:paraId="3BA27431" w14:textId="0D957E31" w:rsidR="00774CA1" w:rsidRPr="005A6CF1" w:rsidRDefault="0076238C" w:rsidP="00B6224B">
      <w:pPr>
        <w:pStyle w:val="ProductList-Offering2Heading"/>
        <w:tabs>
          <w:tab w:val="clear" w:pos="360"/>
          <w:tab w:val="clear" w:pos="720"/>
          <w:tab w:val="clear" w:pos="1080"/>
        </w:tabs>
        <w:outlineLvl w:val="2"/>
        <w:rPr>
          <w:lang w:val="en-US" w:eastAsia="en-US" w:bidi="ar-SA"/>
        </w:rPr>
      </w:pPr>
      <w:bookmarkStart w:id="53" w:name="_Toc65680400"/>
      <w:r w:rsidRPr="005A6CF1">
        <w:rPr>
          <w:lang w:val="en-US" w:eastAsia="en-US" w:bidi="ar-SA"/>
        </w:rPr>
        <w:t>Duet Enterprise Online</w:t>
      </w:r>
      <w:bookmarkEnd w:id="53"/>
    </w:p>
    <w:p w14:paraId="190CEC04" w14:textId="643753AB" w:rsidR="00457D2C" w:rsidRPr="00FB368F" w:rsidRDefault="00457D2C" w:rsidP="00B6224B">
      <w:pPr>
        <w:pStyle w:val="ProductList-Body"/>
      </w:pPr>
      <w:r>
        <w:rPr>
          <w:b/>
          <w:color w:val="00188F"/>
        </w:rPr>
        <w:t>Temps d’Indisponibilité</w:t>
      </w:r>
      <w:r>
        <w:t> </w:t>
      </w:r>
      <w:r w:rsidRPr="006E70DE">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B6224B">
      <w:pPr>
        <w:pStyle w:val="ProductList-Body"/>
      </w:pPr>
    </w:p>
    <w:p w14:paraId="243E6003" w14:textId="3991A708" w:rsidR="00457D2C" w:rsidRPr="00FB368F" w:rsidRDefault="00457D2C"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7F60FC9" w14:textId="77777777" w:rsidR="00457D2C" w:rsidRPr="00FB368F" w:rsidRDefault="00457D2C" w:rsidP="00B6224B">
      <w:pPr>
        <w:pStyle w:val="ProductList-Body"/>
      </w:pPr>
    </w:p>
    <w:p w14:paraId="05C84A72" w14:textId="776CF67E" w:rsidR="00457D2C" w:rsidRPr="002928A2" w:rsidRDefault="00065349"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B6224B">
      <w:pPr>
        <w:pStyle w:val="ProductList-Body"/>
      </w:pPr>
    </w:p>
    <w:p w14:paraId="7EBB7C89" w14:textId="79ACF0D3" w:rsidR="00457D2C" w:rsidRPr="00FB368F" w:rsidRDefault="00457D2C"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2928A2" w14:paraId="70C325E1" w14:textId="77777777" w:rsidTr="00183F48">
        <w:trPr>
          <w:tblHeader/>
        </w:trPr>
        <w:tc>
          <w:tcPr>
            <w:tcW w:w="5400" w:type="dxa"/>
            <w:shd w:val="clear" w:color="auto" w:fill="0072C6"/>
          </w:tcPr>
          <w:p w14:paraId="79A58AAD" w14:textId="77777777" w:rsidR="00457D2C" w:rsidRPr="001A0074" w:rsidRDefault="00457D2C"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B6224B">
            <w:pPr>
              <w:pStyle w:val="ProductList-OfferingBody"/>
              <w:jc w:val="center"/>
              <w:rPr>
                <w:color w:val="FFFFFF" w:themeColor="background1"/>
              </w:rPr>
            </w:pPr>
            <w:r>
              <w:rPr>
                <w:color w:val="FFFFFF" w:themeColor="background1"/>
              </w:rPr>
              <w:t>Avoir Service</w:t>
            </w:r>
          </w:p>
        </w:tc>
      </w:tr>
      <w:tr w:rsidR="00457D2C" w:rsidRPr="002928A2" w14:paraId="58F94D70" w14:textId="77777777" w:rsidTr="00183F48">
        <w:tc>
          <w:tcPr>
            <w:tcW w:w="5400" w:type="dxa"/>
          </w:tcPr>
          <w:p w14:paraId="09911816" w14:textId="6F60CB41" w:rsidR="00457D2C" w:rsidRPr="0076238C" w:rsidRDefault="00457D2C" w:rsidP="00B6224B">
            <w:pPr>
              <w:pStyle w:val="ProductList-OfferingBody"/>
              <w:jc w:val="center"/>
            </w:pPr>
            <w:r>
              <w:t>&lt; 99,9 %</w:t>
            </w:r>
          </w:p>
        </w:tc>
        <w:tc>
          <w:tcPr>
            <w:tcW w:w="5400" w:type="dxa"/>
          </w:tcPr>
          <w:p w14:paraId="1E55B479" w14:textId="5297D6C4" w:rsidR="00457D2C" w:rsidRPr="0076238C" w:rsidRDefault="00457D2C" w:rsidP="00B6224B">
            <w:pPr>
              <w:pStyle w:val="ProductList-OfferingBody"/>
              <w:jc w:val="center"/>
            </w:pPr>
            <w:r>
              <w:t>25</w:t>
            </w:r>
            <w:r w:rsidR="009E67FA">
              <w:t xml:space="preserve"> </w:t>
            </w:r>
            <w:r>
              <w:t>%</w:t>
            </w:r>
          </w:p>
        </w:tc>
      </w:tr>
      <w:tr w:rsidR="00457D2C" w:rsidRPr="002928A2" w14:paraId="42FEB8E8" w14:textId="77777777" w:rsidTr="00183F48">
        <w:tc>
          <w:tcPr>
            <w:tcW w:w="5400" w:type="dxa"/>
          </w:tcPr>
          <w:p w14:paraId="6F1CA677" w14:textId="6F627B9D" w:rsidR="00457D2C" w:rsidRPr="0076238C" w:rsidRDefault="00457D2C" w:rsidP="00B6224B">
            <w:pPr>
              <w:pStyle w:val="ProductList-OfferingBody"/>
              <w:jc w:val="center"/>
            </w:pPr>
            <w:r>
              <w:t>&lt; 99 %</w:t>
            </w:r>
          </w:p>
        </w:tc>
        <w:tc>
          <w:tcPr>
            <w:tcW w:w="5400" w:type="dxa"/>
          </w:tcPr>
          <w:p w14:paraId="392B08D5" w14:textId="2616F9F7" w:rsidR="00457D2C" w:rsidRPr="0076238C" w:rsidRDefault="00457D2C" w:rsidP="00B6224B">
            <w:pPr>
              <w:pStyle w:val="ProductList-OfferingBody"/>
              <w:jc w:val="center"/>
            </w:pPr>
            <w:r>
              <w:t>50</w:t>
            </w:r>
            <w:r w:rsidR="009E67FA">
              <w:t xml:space="preserve"> </w:t>
            </w:r>
            <w:r>
              <w:t>%</w:t>
            </w:r>
          </w:p>
        </w:tc>
      </w:tr>
      <w:tr w:rsidR="00457D2C" w:rsidRPr="002928A2" w14:paraId="04233D54" w14:textId="77777777" w:rsidTr="00183F48">
        <w:tc>
          <w:tcPr>
            <w:tcW w:w="5400" w:type="dxa"/>
          </w:tcPr>
          <w:p w14:paraId="41087AD7" w14:textId="77777777" w:rsidR="00457D2C" w:rsidRPr="0076238C" w:rsidRDefault="00457D2C" w:rsidP="00B6224B">
            <w:pPr>
              <w:pStyle w:val="ProductList-OfferingBody"/>
              <w:jc w:val="center"/>
            </w:pPr>
            <w:r>
              <w:t>&lt; 95 %</w:t>
            </w:r>
          </w:p>
        </w:tc>
        <w:tc>
          <w:tcPr>
            <w:tcW w:w="5400" w:type="dxa"/>
          </w:tcPr>
          <w:p w14:paraId="7D5D6CC8" w14:textId="5A804D9F" w:rsidR="00457D2C" w:rsidRPr="0076238C" w:rsidRDefault="00457D2C" w:rsidP="00B6224B">
            <w:pPr>
              <w:pStyle w:val="ProductList-OfferingBody"/>
              <w:jc w:val="center"/>
            </w:pPr>
            <w:r>
              <w:t>100</w:t>
            </w:r>
            <w:r w:rsidR="009E67FA">
              <w:t xml:space="preserve"> </w:t>
            </w:r>
            <w:r>
              <w:t>%</w:t>
            </w:r>
          </w:p>
        </w:tc>
      </w:tr>
    </w:tbl>
    <w:p w14:paraId="054A3300" w14:textId="4805DEBA" w:rsidR="00457D2C" w:rsidRPr="00FB368F" w:rsidRDefault="00457D2C" w:rsidP="00B6224B">
      <w:pPr>
        <w:pStyle w:val="ProductList-Body"/>
      </w:pPr>
    </w:p>
    <w:p w14:paraId="08E6E950" w14:textId="7A9FD66B" w:rsidR="00457D2C" w:rsidRPr="00FB368F" w:rsidRDefault="00457D2C" w:rsidP="00B6224B">
      <w:pPr>
        <w:pStyle w:val="ProductList-Body"/>
      </w:pPr>
      <w:r>
        <w:rPr>
          <w:b/>
          <w:color w:val="00188F"/>
        </w:rPr>
        <w:t>Exceptions de Niveau de Service</w:t>
      </w:r>
      <w:r>
        <w:t> </w:t>
      </w:r>
      <w:r w:rsidRPr="006E70DE">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B6224B">
      <w:pPr>
        <w:pStyle w:val="ProductList-Body"/>
      </w:pPr>
    </w:p>
    <w:p w14:paraId="0A933C0E" w14:textId="12287872" w:rsidR="00457D2C" w:rsidRPr="00FB368F" w:rsidRDefault="00457D2C" w:rsidP="00B6224B">
      <w:pPr>
        <w:pStyle w:val="ProductList-Body"/>
      </w:pPr>
      <w:r>
        <w:rPr>
          <w:b/>
          <w:color w:val="00188F"/>
        </w:rPr>
        <w:t>Conditions supplémentaires</w:t>
      </w:r>
      <w:r>
        <w:t> </w:t>
      </w:r>
      <w:r w:rsidRPr="006E70DE">
        <w:t>:</w:t>
      </w:r>
      <w:r>
        <w:t xml:space="preserve"> vous pourrez prétendre à un Avoir Service pour </w:t>
      </w:r>
      <w:proofErr w:type="spellStart"/>
      <w:r>
        <w:t>Duet</w:t>
      </w:r>
      <w:proofErr w:type="spellEnd"/>
      <w:r>
        <w:t xml:space="preserve"> Enterprise Online uniquement si vous pouvez prétendre à</w:t>
      </w:r>
      <w:r w:rsidR="003823B2">
        <w:t> </w:t>
      </w:r>
      <w:r>
        <w:t>un</w:t>
      </w:r>
      <w:r w:rsidR="003823B2">
        <w:t> </w:t>
      </w:r>
      <w:r>
        <w:t xml:space="preserve">Avoir Service pour les SL Utilisateur SharePoint Online Plan 2 que vous avez acquises pour pouvoir acquérir vos SL Utilisateur </w:t>
      </w:r>
      <w:proofErr w:type="spellStart"/>
      <w:r>
        <w:t>Duet</w:t>
      </w:r>
      <w:proofErr w:type="spellEnd"/>
      <w:r>
        <w:t xml:space="preserve"> Enterprise</w:t>
      </w:r>
      <w:r w:rsidR="003823B2">
        <w:t> </w:t>
      </w:r>
      <w:r>
        <w:t>Online.</w:t>
      </w:r>
    </w:p>
    <w:p w14:paraId="351359CC" w14:textId="77777777" w:rsidR="009C340C" w:rsidRPr="00FB368F" w:rsidRDefault="00065349"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EE46691" w14:textId="63634FA2" w:rsidR="00D1684A" w:rsidRPr="008E64FF" w:rsidRDefault="00457D2C" w:rsidP="00B6224B">
      <w:pPr>
        <w:pStyle w:val="ProductList-Offering2Heading"/>
        <w:rPr>
          <w:lang w:eastAsia="en-US" w:bidi="ar-SA"/>
        </w:rPr>
      </w:pPr>
      <w:bookmarkStart w:id="54" w:name="_Toc65680401"/>
      <w:r w:rsidRPr="008E64FF">
        <w:rPr>
          <w:lang w:eastAsia="en-US" w:bidi="ar-SA"/>
        </w:rPr>
        <w:t>Exchange Online</w:t>
      </w:r>
      <w:bookmarkEnd w:id="54"/>
    </w:p>
    <w:p w14:paraId="37204401" w14:textId="15921353"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B6224B">
      <w:pPr>
        <w:pStyle w:val="ProductList-Body"/>
        <w:rPr>
          <w:sz w:val="16"/>
          <w:szCs w:val="16"/>
        </w:rPr>
      </w:pPr>
    </w:p>
    <w:p w14:paraId="33963DB8" w14:textId="2486E23B"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CA874C" w14:textId="77777777" w:rsidR="008C5EDB" w:rsidRPr="00E603F7" w:rsidRDefault="008C5EDB" w:rsidP="00B6224B">
      <w:pPr>
        <w:pStyle w:val="ProductList-Body"/>
        <w:rPr>
          <w:sz w:val="16"/>
          <w:szCs w:val="16"/>
        </w:rPr>
      </w:pPr>
    </w:p>
    <w:p w14:paraId="65B54513" w14:textId="10AD1EDA" w:rsidR="008C5EDB" w:rsidRPr="002928A2" w:rsidRDefault="00065349"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B6224B">
      <w:pPr>
        <w:pStyle w:val="ProductList-Body"/>
        <w:rPr>
          <w:sz w:val="16"/>
          <w:szCs w:val="16"/>
        </w:rPr>
      </w:pPr>
    </w:p>
    <w:p w14:paraId="79B064B8" w14:textId="0F17D29B" w:rsidR="008C5EDB" w:rsidRPr="00FB368F" w:rsidRDefault="008C5EDB" w:rsidP="0084633F">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78C70E5C" w14:textId="77777777" w:rsidTr="00183F48">
        <w:trPr>
          <w:tblHeader/>
        </w:trPr>
        <w:tc>
          <w:tcPr>
            <w:tcW w:w="5400" w:type="dxa"/>
            <w:shd w:val="clear" w:color="auto" w:fill="0072C6"/>
          </w:tcPr>
          <w:p w14:paraId="7F14DE0D"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0D8E35A8" w14:textId="77777777" w:rsidTr="00183F48">
        <w:tc>
          <w:tcPr>
            <w:tcW w:w="5400" w:type="dxa"/>
          </w:tcPr>
          <w:p w14:paraId="077ED045" w14:textId="1ECDA385" w:rsidR="008C5EDB" w:rsidRPr="0076238C" w:rsidRDefault="008C5EDB" w:rsidP="00B6224B">
            <w:pPr>
              <w:pStyle w:val="ProductList-OfferingBody"/>
              <w:jc w:val="center"/>
            </w:pPr>
            <w:r>
              <w:t>&lt; 99,9 %</w:t>
            </w:r>
          </w:p>
        </w:tc>
        <w:tc>
          <w:tcPr>
            <w:tcW w:w="5400" w:type="dxa"/>
          </w:tcPr>
          <w:p w14:paraId="27088976" w14:textId="388D0BF2" w:rsidR="008C5EDB" w:rsidRPr="0076238C" w:rsidRDefault="008C5EDB" w:rsidP="00B6224B">
            <w:pPr>
              <w:pStyle w:val="ProductList-OfferingBody"/>
              <w:jc w:val="center"/>
            </w:pPr>
            <w:r>
              <w:t>25</w:t>
            </w:r>
            <w:r w:rsidR="00427BA8">
              <w:t xml:space="preserve"> </w:t>
            </w:r>
            <w:r>
              <w:t>%</w:t>
            </w:r>
          </w:p>
        </w:tc>
      </w:tr>
      <w:tr w:rsidR="008C5EDB" w:rsidRPr="002928A2" w14:paraId="2C28970C" w14:textId="77777777" w:rsidTr="00183F48">
        <w:tc>
          <w:tcPr>
            <w:tcW w:w="5400" w:type="dxa"/>
          </w:tcPr>
          <w:p w14:paraId="23AD33F1" w14:textId="5206F138" w:rsidR="008C5EDB" w:rsidRPr="0076238C" w:rsidRDefault="008C5EDB" w:rsidP="00B6224B">
            <w:pPr>
              <w:pStyle w:val="ProductList-OfferingBody"/>
              <w:jc w:val="center"/>
            </w:pPr>
            <w:r>
              <w:t>&lt; 99 %</w:t>
            </w:r>
          </w:p>
        </w:tc>
        <w:tc>
          <w:tcPr>
            <w:tcW w:w="5400" w:type="dxa"/>
          </w:tcPr>
          <w:p w14:paraId="46AE6A16" w14:textId="161009E0" w:rsidR="008C5EDB" w:rsidRPr="0076238C" w:rsidRDefault="008C5EDB" w:rsidP="00B6224B">
            <w:pPr>
              <w:pStyle w:val="ProductList-OfferingBody"/>
              <w:jc w:val="center"/>
            </w:pPr>
            <w:r>
              <w:t>50</w:t>
            </w:r>
            <w:r w:rsidR="00427BA8">
              <w:t xml:space="preserve"> </w:t>
            </w:r>
            <w:r>
              <w:t>%</w:t>
            </w:r>
          </w:p>
        </w:tc>
      </w:tr>
      <w:tr w:rsidR="008C5EDB" w:rsidRPr="002928A2" w14:paraId="63DFBD57" w14:textId="77777777" w:rsidTr="00183F48">
        <w:tc>
          <w:tcPr>
            <w:tcW w:w="5400" w:type="dxa"/>
          </w:tcPr>
          <w:p w14:paraId="2C378505" w14:textId="77777777" w:rsidR="008C5EDB" w:rsidRPr="0076238C" w:rsidRDefault="008C5EDB" w:rsidP="00B6224B">
            <w:pPr>
              <w:pStyle w:val="ProductList-OfferingBody"/>
              <w:jc w:val="center"/>
            </w:pPr>
            <w:r>
              <w:t>&lt; 95 %</w:t>
            </w:r>
          </w:p>
        </w:tc>
        <w:tc>
          <w:tcPr>
            <w:tcW w:w="5400" w:type="dxa"/>
          </w:tcPr>
          <w:p w14:paraId="68F6EC9A" w14:textId="00578A61" w:rsidR="008C5EDB" w:rsidRPr="0076238C" w:rsidRDefault="008C5EDB" w:rsidP="00B6224B">
            <w:pPr>
              <w:pStyle w:val="ProductList-OfferingBody"/>
              <w:jc w:val="center"/>
            </w:pPr>
            <w:r>
              <w:t>100</w:t>
            </w:r>
            <w:r w:rsidR="00427BA8">
              <w:t xml:space="preserve"> </w:t>
            </w:r>
            <w:r>
              <w:t>%</w:t>
            </w:r>
          </w:p>
        </w:tc>
      </w:tr>
    </w:tbl>
    <w:p w14:paraId="27051726" w14:textId="77777777" w:rsidR="00FF7F64" w:rsidRPr="00E603F7" w:rsidRDefault="00FF7F64" w:rsidP="00B6224B">
      <w:pPr>
        <w:pStyle w:val="ProductList-Body"/>
        <w:tabs>
          <w:tab w:val="clear" w:pos="360"/>
          <w:tab w:val="clear" w:pos="720"/>
          <w:tab w:val="clear" w:pos="1080"/>
        </w:tabs>
        <w:rPr>
          <w:sz w:val="16"/>
          <w:szCs w:val="16"/>
        </w:rPr>
      </w:pPr>
    </w:p>
    <w:p w14:paraId="73F2E598" w14:textId="1FF73683" w:rsidR="00457D2C" w:rsidRPr="00FB368F" w:rsidRDefault="008C5EDB" w:rsidP="00B6224B">
      <w:pPr>
        <w:pStyle w:val="ProductList-Body"/>
        <w:tabs>
          <w:tab w:val="clear" w:pos="360"/>
          <w:tab w:val="clear" w:pos="720"/>
          <w:tab w:val="clear" w:pos="1080"/>
        </w:tabs>
      </w:pPr>
      <w:r>
        <w:rPr>
          <w:b/>
          <w:color w:val="00188F"/>
        </w:rPr>
        <w:lastRenderedPageBreak/>
        <w:t>Conditions supplémentaires</w:t>
      </w:r>
      <w:r>
        <w:t> </w:t>
      </w:r>
      <w:r w:rsidRPr="006E70DE">
        <w:t>:</w:t>
      </w:r>
      <w:r>
        <w:t xml:space="preserve"> voir l’Annexe 1 - Engagement de Niveau de Service pour la Détection et le Blocage de Virus, l’Efficacité du Filtre de Courriers Indésirables ou les Faux Positifs.</w:t>
      </w:r>
    </w:p>
    <w:p w14:paraId="4268C538" w14:textId="77777777" w:rsidR="009C340C" w:rsidRPr="00FB368F" w:rsidRDefault="00065349"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4A7A089" w14:textId="0BD27785" w:rsidR="008C5EDB" w:rsidRPr="008E64FF" w:rsidRDefault="008C5EDB" w:rsidP="00B6224B">
      <w:pPr>
        <w:pStyle w:val="ProductList-Offering2Heading"/>
        <w:rPr>
          <w:lang w:eastAsia="en-US" w:bidi="ar-SA"/>
        </w:rPr>
      </w:pPr>
      <w:bookmarkStart w:id="55" w:name="_Toc65680402"/>
      <w:r w:rsidRPr="008E64FF">
        <w:rPr>
          <w:lang w:eastAsia="en-US" w:bidi="ar-SA"/>
        </w:rPr>
        <w:t xml:space="preserve">Exchange Online </w:t>
      </w:r>
      <w:proofErr w:type="spellStart"/>
      <w:r w:rsidRPr="008E64FF">
        <w:rPr>
          <w:lang w:eastAsia="en-US" w:bidi="ar-SA"/>
        </w:rPr>
        <w:t>Archiving</w:t>
      </w:r>
      <w:bookmarkEnd w:id="55"/>
      <w:proofErr w:type="spellEnd"/>
    </w:p>
    <w:p w14:paraId="4DC67B77" w14:textId="148DE10C"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B6224B">
      <w:pPr>
        <w:pStyle w:val="ProductList-Body"/>
        <w:rPr>
          <w:sz w:val="16"/>
          <w:szCs w:val="16"/>
        </w:rPr>
      </w:pPr>
    </w:p>
    <w:p w14:paraId="61369152" w14:textId="2C68B68D"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571F306" w14:textId="77777777" w:rsidR="008C5EDB" w:rsidRPr="00E603F7" w:rsidRDefault="008C5EDB" w:rsidP="00B6224B">
      <w:pPr>
        <w:pStyle w:val="ProductList-Body"/>
        <w:rPr>
          <w:sz w:val="16"/>
          <w:szCs w:val="16"/>
        </w:rPr>
      </w:pPr>
    </w:p>
    <w:p w14:paraId="7F84E6CC" w14:textId="0B2FC65B" w:rsidR="008C5EDB" w:rsidRPr="002928A2" w:rsidRDefault="00065349"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B6224B">
      <w:pPr>
        <w:pStyle w:val="ProductList-Body"/>
        <w:rPr>
          <w:sz w:val="16"/>
          <w:szCs w:val="16"/>
        </w:rPr>
      </w:pPr>
    </w:p>
    <w:p w14:paraId="3C328F82" w14:textId="2705C4AE"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A430552" w14:textId="77777777" w:rsidTr="00183F48">
        <w:trPr>
          <w:tblHeader/>
        </w:trPr>
        <w:tc>
          <w:tcPr>
            <w:tcW w:w="5400" w:type="dxa"/>
            <w:shd w:val="clear" w:color="auto" w:fill="0072C6"/>
          </w:tcPr>
          <w:p w14:paraId="7AB84C1C"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10345B0" w14:textId="77777777" w:rsidTr="00183F48">
        <w:tc>
          <w:tcPr>
            <w:tcW w:w="5400" w:type="dxa"/>
          </w:tcPr>
          <w:p w14:paraId="182FD6E2" w14:textId="21EC2136" w:rsidR="008C5EDB" w:rsidRPr="0076238C" w:rsidRDefault="008C5EDB" w:rsidP="00B6224B">
            <w:pPr>
              <w:pStyle w:val="ProductList-OfferingBody"/>
              <w:jc w:val="center"/>
            </w:pPr>
            <w:r>
              <w:t>&lt; 99,9 %</w:t>
            </w:r>
          </w:p>
        </w:tc>
        <w:tc>
          <w:tcPr>
            <w:tcW w:w="5400" w:type="dxa"/>
          </w:tcPr>
          <w:p w14:paraId="7E536980" w14:textId="396460F6" w:rsidR="008C5EDB" w:rsidRPr="0076238C" w:rsidRDefault="008C5EDB" w:rsidP="00B6224B">
            <w:pPr>
              <w:pStyle w:val="ProductList-OfferingBody"/>
              <w:jc w:val="center"/>
            </w:pPr>
            <w:r>
              <w:t>25</w:t>
            </w:r>
            <w:r w:rsidR="00427BA8">
              <w:t xml:space="preserve"> </w:t>
            </w:r>
            <w:r>
              <w:t>%</w:t>
            </w:r>
          </w:p>
        </w:tc>
      </w:tr>
      <w:tr w:rsidR="008C5EDB" w:rsidRPr="002928A2" w14:paraId="593FE832" w14:textId="77777777" w:rsidTr="00183F48">
        <w:tc>
          <w:tcPr>
            <w:tcW w:w="5400" w:type="dxa"/>
          </w:tcPr>
          <w:p w14:paraId="55956A3F" w14:textId="7AC2D0B5" w:rsidR="008C5EDB" w:rsidRPr="0076238C" w:rsidRDefault="008C5EDB" w:rsidP="00B6224B">
            <w:pPr>
              <w:pStyle w:val="ProductList-OfferingBody"/>
              <w:jc w:val="center"/>
            </w:pPr>
            <w:r>
              <w:t>&lt; 99 %</w:t>
            </w:r>
          </w:p>
        </w:tc>
        <w:tc>
          <w:tcPr>
            <w:tcW w:w="5400" w:type="dxa"/>
          </w:tcPr>
          <w:p w14:paraId="6019CFA5" w14:textId="5AE8A046" w:rsidR="008C5EDB" w:rsidRPr="0076238C" w:rsidRDefault="008C5EDB" w:rsidP="00B6224B">
            <w:pPr>
              <w:pStyle w:val="ProductList-OfferingBody"/>
              <w:jc w:val="center"/>
            </w:pPr>
            <w:r>
              <w:t>50</w:t>
            </w:r>
            <w:r w:rsidR="00427BA8">
              <w:t xml:space="preserve"> </w:t>
            </w:r>
            <w:r>
              <w:t>%</w:t>
            </w:r>
          </w:p>
        </w:tc>
      </w:tr>
      <w:tr w:rsidR="008C5EDB" w:rsidRPr="002928A2" w14:paraId="5D8417F0" w14:textId="77777777" w:rsidTr="00183F48">
        <w:tc>
          <w:tcPr>
            <w:tcW w:w="5400" w:type="dxa"/>
          </w:tcPr>
          <w:p w14:paraId="03BBBEA7" w14:textId="77777777" w:rsidR="008C5EDB" w:rsidRPr="0076238C" w:rsidRDefault="008C5EDB" w:rsidP="00B6224B">
            <w:pPr>
              <w:pStyle w:val="ProductList-OfferingBody"/>
              <w:jc w:val="center"/>
            </w:pPr>
            <w:r>
              <w:t>&lt; 95 %</w:t>
            </w:r>
          </w:p>
        </w:tc>
        <w:tc>
          <w:tcPr>
            <w:tcW w:w="5400" w:type="dxa"/>
          </w:tcPr>
          <w:p w14:paraId="548DC324" w14:textId="29597CAA" w:rsidR="008C5EDB" w:rsidRPr="0076238C" w:rsidRDefault="008C5EDB" w:rsidP="00B6224B">
            <w:pPr>
              <w:pStyle w:val="ProductList-OfferingBody"/>
              <w:jc w:val="center"/>
            </w:pPr>
            <w:r>
              <w:t>100</w:t>
            </w:r>
            <w:r w:rsidR="00427BA8">
              <w:t xml:space="preserve"> </w:t>
            </w:r>
            <w:r>
              <w:t>%</w:t>
            </w:r>
          </w:p>
        </w:tc>
      </w:tr>
    </w:tbl>
    <w:p w14:paraId="2F97468D" w14:textId="77777777" w:rsidR="008C5EDB" w:rsidRPr="00E603F7" w:rsidRDefault="008C5EDB" w:rsidP="00B6224B">
      <w:pPr>
        <w:pStyle w:val="ProductList-Body"/>
        <w:tabs>
          <w:tab w:val="clear" w:pos="360"/>
          <w:tab w:val="clear" w:pos="720"/>
          <w:tab w:val="clear" w:pos="1080"/>
        </w:tabs>
        <w:rPr>
          <w:sz w:val="16"/>
          <w:szCs w:val="16"/>
        </w:rPr>
      </w:pPr>
    </w:p>
    <w:p w14:paraId="597A6C6F" w14:textId="23570853" w:rsidR="008C5EDB" w:rsidRPr="00FB368F" w:rsidRDefault="008C5EDB" w:rsidP="00B6224B">
      <w:pPr>
        <w:pStyle w:val="ProductList-Body"/>
      </w:pPr>
      <w:r>
        <w:rPr>
          <w:b/>
          <w:color w:val="00188F"/>
        </w:rPr>
        <w:t>Exceptions de Niveau de Service</w:t>
      </w:r>
      <w:r>
        <w:t> </w:t>
      </w:r>
      <w:r w:rsidRPr="006E70DE">
        <w:t>:</w:t>
      </w:r>
      <w:r>
        <w:t xml:space="preserve"> le présent SLA ne s’applique pas à l’achat de Enterprise CAL Suite dans le cadre des contrats de licence en volume Open Value ou Open Value Souscription.</w:t>
      </w:r>
    </w:p>
    <w:p w14:paraId="4862D494" w14:textId="77777777" w:rsidR="009C340C" w:rsidRPr="00FB368F" w:rsidRDefault="00065349"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F2BB32" w14:textId="123C632E" w:rsidR="008C5EDB" w:rsidRPr="008E64FF" w:rsidRDefault="008C5EDB" w:rsidP="00821000">
      <w:pPr>
        <w:pStyle w:val="ProductList-Offering2Heading"/>
        <w:rPr>
          <w:lang w:eastAsia="en-US" w:bidi="ar-SA"/>
        </w:rPr>
      </w:pPr>
      <w:bookmarkStart w:id="56" w:name="_Toc65680403"/>
      <w:r w:rsidRPr="008E64FF">
        <w:rPr>
          <w:lang w:eastAsia="en-US" w:bidi="ar-SA"/>
        </w:rPr>
        <w:t>Exchange Online Protection</w:t>
      </w:r>
      <w:bookmarkEnd w:id="56"/>
    </w:p>
    <w:p w14:paraId="5F043877" w14:textId="54D4FD82" w:rsidR="008C5EDB" w:rsidRPr="00FB368F" w:rsidRDefault="008C5EDB" w:rsidP="00B6224B">
      <w:pPr>
        <w:pStyle w:val="ProductList-Body"/>
      </w:pPr>
      <w:r>
        <w:rPr>
          <w:b/>
          <w:color w:val="00188F"/>
        </w:rPr>
        <w:t>Temps d’Indisponibilité</w:t>
      </w:r>
      <w:r>
        <w:t> </w:t>
      </w:r>
      <w:r w:rsidRPr="006E70DE">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B6224B">
      <w:pPr>
        <w:pStyle w:val="ProductList-Body"/>
        <w:rPr>
          <w:sz w:val="16"/>
          <w:szCs w:val="16"/>
        </w:rPr>
      </w:pPr>
    </w:p>
    <w:p w14:paraId="05FECAE0" w14:textId="2B92992A"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B99F49" w14:textId="77777777" w:rsidR="008C5EDB" w:rsidRPr="00E603F7" w:rsidRDefault="008C5EDB" w:rsidP="00B6224B">
      <w:pPr>
        <w:pStyle w:val="ProductList-Body"/>
        <w:rPr>
          <w:sz w:val="16"/>
          <w:szCs w:val="16"/>
        </w:rPr>
      </w:pPr>
    </w:p>
    <w:p w14:paraId="5E2077ED" w14:textId="70B54E78" w:rsidR="008C5EDB" w:rsidRPr="002928A2" w:rsidRDefault="00065349"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rsidP="00B6224B">
      <w:pPr>
        <w:spacing w:after="0" w:line="240" w:lineRule="auto"/>
        <w:rPr>
          <w:sz w:val="16"/>
          <w:szCs w:val="16"/>
        </w:rPr>
      </w:pPr>
    </w:p>
    <w:p w14:paraId="3ED24468" w14:textId="014EDAEB"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0F78EA0F" w14:textId="77777777" w:rsidTr="00183F48">
        <w:trPr>
          <w:tblHeader/>
        </w:trPr>
        <w:tc>
          <w:tcPr>
            <w:tcW w:w="5400" w:type="dxa"/>
            <w:shd w:val="clear" w:color="auto" w:fill="0072C6"/>
          </w:tcPr>
          <w:p w14:paraId="23971F47"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A9DF485" w14:textId="77777777" w:rsidTr="00183F48">
        <w:tc>
          <w:tcPr>
            <w:tcW w:w="5400" w:type="dxa"/>
          </w:tcPr>
          <w:p w14:paraId="2CB7FA06" w14:textId="6D5AB9F1" w:rsidR="008C5EDB" w:rsidRPr="0076238C" w:rsidRDefault="008C5EDB" w:rsidP="00B6224B">
            <w:pPr>
              <w:pStyle w:val="ProductList-OfferingBody"/>
              <w:jc w:val="center"/>
            </w:pPr>
            <w:r>
              <w:t>&lt; 99,9 %</w:t>
            </w:r>
          </w:p>
        </w:tc>
        <w:tc>
          <w:tcPr>
            <w:tcW w:w="5400" w:type="dxa"/>
          </w:tcPr>
          <w:p w14:paraId="28FF70FA" w14:textId="69105A6D" w:rsidR="008C5EDB" w:rsidRPr="0076238C" w:rsidRDefault="008C5EDB" w:rsidP="00B6224B">
            <w:pPr>
              <w:pStyle w:val="ProductList-OfferingBody"/>
              <w:jc w:val="center"/>
            </w:pPr>
            <w:r>
              <w:t>25</w:t>
            </w:r>
            <w:r w:rsidR="00427BA8">
              <w:t xml:space="preserve"> </w:t>
            </w:r>
            <w:r>
              <w:t>%</w:t>
            </w:r>
          </w:p>
        </w:tc>
      </w:tr>
      <w:tr w:rsidR="008C5EDB" w:rsidRPr="002928A2" w14:paraId="3CC7860E" w14:textId="77777777" w:rsidTr="00183F48">
        <w:tc>
          <w:tcPr>
            <w:tcW w:w="5400" w:type="dxa"/>
          </w:tcPr>
          <w:p w14:paraId="48BA7A04" w14:textId="4C9C4411" w:rsidR="008C5EDB" w:rsidRPr="0076238C" w:rsidRDefault="008C5EDB" w:rsidP="00B6224B">
            <w:pPr>
              <w:pStyle w:val="ProductList-OfferingBody"/>
              <w:jc w:val="center"/>
            </w:pPr>
            <w:r>
              <w:t>&lt; 99 %</w:t>
            </w:r>
          </w:p>
        </w:tc>
        <w:tc>
          <w:tcPr>
            <w:tcW w:w="5400" w:type="dxa"/>
          </w:tcPr>
          <w:p w14:paraId="34E7D447" w14:textId="3369EB2E" w:rsidR="008C5EDB" w:rsidRPr="0076238C" w:rsidRDefault="008C5EDB" w:rsidP="00B6224B">
            <w:pPr>
              <w:pStyle w:val="ProductList-OfferingBody"/>
              <w:jc w:val="center"/>
            </w:pPr>
            <w:r>
              <w:t>50</w:t>
            </w:r>
            <w:r w:rsidR="00427BA8">
              <w:t xml:space="preserve"> </w:t>
            </w:r>
            <w:r>
              <w:t>%</w:t>
            </w:r>
          </w:p>
        </w:tc>
      </w:tr>
      <w:tr w:rsidR="008C5EDB" w:rsidRPr="002928A2" w14:paraId="1675CFBB" w14:textId="77777777" w:rsidTr="00183F48">
        <w:tc>
          <w:tcPr>
            <w:tcW w:w="5400" w:type="dxa"/>
          </w:tcPr>
          <w:p w14:paraId="4D6E8DE5" w14:textId="77777777" w:rsidR="008C5EDB" w:rsidRPr="0076238C" w:rsidRDefault="008C5EDB" w:rsidP="00B6224B">
            <w:pPr>
              <w:pStyle w:val="ProductList-OfferingBody"/>
              <w:jc w:val="center"/>
            </w:pPr>
            <w:r>
              <w:t>&lt; 95 %</w:t>
            </w:r>
          </w:p>
        </w:tc>
        <w:tc>
          <w:tcPr>
            <w:tcW w:w="5400" w:type="dxa"/>
          </w:tcPr>
          <w:p w14:paraId="2546569F" w14:textId="0170068D" w:rsidR="008C5EDB" w:rsidRPr="0076238C" w:rsidRDefault="008C5EDB" w:rsidP="00B6224B">
            <w:pPr>
              <w:pStyle w:val="ProductList-OfferingBody"/>
              <w:jc w:val="center"/>
            </w:pPr>
            <w:r>
              <w:t>100</w:t>
            </w:r>
            <w:r w:rsidR="00427BA8">
              <w:t xml:space="preserve"> </w:t>
            </w:r>
            <w:r>
              <w:t>%</w:t>
            </w:r>
          </w:p>
        </w:tc>
      </w:tr>
    </w:tbl>
    <w:p w14:paraId="40AEF4BA" w14:textId="77777777" w:rsidR="008C5EDB" w:rsidRPr="00FB368F" w:rsidRDefault="008C5EDB" w:rsidP="00B6224B">
      <w:pPr>
        <w:pStyle w:val="ProductList-Body"/>
        <w:tabs>
          <w:tab w:val="clear" w:pos="360"/>
          <w:tab w:val="clear" w:pos="720"/>
          <w:tab w:val="clear" w:pos="1080"/>
        </w:tabs>
      </w:pPr>
    </w:p>
    <w:p w14:paraId="12EF5B77" w14:textId="49311F8B" w:rsidR="008C5EDB" w:rsidRPr="00FB368F" w:rsidRDefault="008C5EDB" w:rsidP="00B6224B">
      <w:pPr>
        <w:pStyle w:val="ProductList-Body"/>
      </w:pPr>
      <w:r w:rsidRPr="0023168B">
        <w:rPr>
          <w:b/>
          <w:color w:val="00188F"/>
        </w:rPr>
        <w:t>Exceptions de Niveau de Service</w:t>
      </w:r>
      <w:r w:rsidRPr="0023168B">
        <w:t> </w:t>
      </w:r>
      <w:r w:rsidRPr="006E70DE">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B6224B">
      <w:pPr>
        <w:pStyle w:val="ProductList-Body"/>
      </w:pPr>
    </w:p>
    <w:p w14:paraId="40D25923" w14:textId="6048CABD" w:rsidR="008C5EDB" w:rsidRPr="00FB368F" w:rsidRDefault="008C5EDB" w:rsidP="00821000">
      <w:pPr>
        <w:pStyle w:val="ProductList-Body"/>
      </w:pPr>
      <w:r>
        <w:rPr>
          <w:b/>
          <w:color w:val="00188F"/>
        </w:rPr>
        <w:t>Conditions supplémentaires</w:t>
      </w:r>
      <w:r>
        <w:t> </w:t>
      </w:r>
      <w:r w:rsidRPr="006E70DE">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bookmarkStart w:id="57" w:name="_Toc525207098"/>
    <w:bookmarkStart w:id="58" w:name="_Toc526859624"/>
    <w:p w14:paraId="12820670"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82A87D" w14:textId="77777777" w:rsidR="00A40F90" w:rsidRPr="002B713E" w:rsidRDefault="00A40F90" w:rsidP="00B6224B">
      <w:pPr>
        <w:pStyle w:val="ProductList-Offering2Heading"/>
        <w:outlineLvl w:val="2"/>
      </w:pPr>
      <w:bookmarkStart w:id="59" w:name="_Toc65680404"/>
      <w:r>
        <w:t xml:space="preserve">Microsoft </w:t>
      </w:r>
      <w:bookmarkEnd w:id="57"/>
      <w:proofErr w:type="spellStart"/>
      <w:r>
        <w:t>MyAnalytics</w:t>
      </w:r>
      <w:bookmarkEnd w:id="58"/>
      <w:bookmarkEnd w:id="59"/>
      <w:proofErr w:type="spellEnd"/>
    </w:p>
    <w:p w14:paraId="07868C3F" w14:textId="77777777" w:rsidR="00A40F90" w:rsidRPr="002B713E" w:rsidRDefault="00A40F90" w:rsidP="00B6224B">
      <w:pPr>
        <w:pStyle w:val="ProductList-Body"/>
      </w:pPr>
      <w:r>
        <w:rPr>
          <w:b/>
          <w:color w:val="00188F"/>
        </w:rPr>
        <w:t>Temps d’Indisponibilité</w:t>
      </w:r>
      <w:r>
        <w:t> </w:t>
      </w:r>
      <w:r w:rsidRPr="001C0AF8">
        <w:rPr>
          <w:b/>
        </w:rPr>
        <w:t>:</w:t>
      </w:r>
      <w:r>
        <w:t xml:space="preserve"> </w:t>
      </w:r>
      <w:r>
        <w:rPr>
          <w:iCs/>
        </w:rPr>
        <w:t xml:space="preserve">Toute période au cours de laquelle les utilisateurs ne peuvent pas accéder au tableau de bord </w:t>
      </w:r>
      <w:proofErr w:type="spellStart"/>
      <w:r>
        <w:rPr>
          <w:iCs/>
        </w:rPr>
        <w:t>MyAnalytics</w:t>
      </w:r>
      <w:proofErr w:type="spellEnd"/>
      <w:r>
        <w:rPr>
          <w:i/>
        </w:rPr>
        <w:t>.</w:t>
      </w:r>
    </w:p>
    <w:p w14:paraId="700A5695" w14:textId="77777777" w:rsidR="00164380" w:rsidRPr="00E82568" w:rsidRDefault="00164380" w:rsidP="00B6224B">
      <w:pPr>
        <w:pStyle w:val="ProductList-Body"/>
      </w:pPr>
    </w:p>
    <w:p w14:paraId="57A88FB5" w14:textId="77777777" w:rsidR="00164380" w:rsidRPr="00E82568" w:rsidRDefault="0016438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9DFD13" w14:textId="77777777" w:rsidR="00164380" w:rsidRPr="00E82568" w:rsidRDefault="00164380" w:rsidP="00B6224B">
      <w:pPr>
        <w:pStyle w:val="ProductList-Body"/>
      </w:pPr>
    </w:p>
    <w:p w14:paraId="6002B870" w14:textId="77777777" w:rsidR="00164380" w:rsidRPr="002928A2" w:rsidRDefault="00065349"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B6224B">
      <w:pPr>
        <w:pStyle w:val="ProductList-Body"/>
      </w:pPr>
    </w:p>
    <w:p w14:paraId="513987C0" w14:textId="77777777" w:rsidR="00164380" w:rsidRPr="00E82568" w:rsidRDefault="0016438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2928A2" w14:paraId="312C9EC5" w14:textId="77777777" w:rsidTr="007B4942">
        <w:trPr>
          <w:tblHeader/>
        </w:trPr>
        <w:tc>
          <w:tcPr>
            <w:tcW w:w="5400" w:type="dxa"/>
            <w:shd w:val="clear" w:color="auto" w:fill="0072C6"/>
          </w:tcPr>
          <w:p w14:paraId="2719BD8C" w14:textId="77777777" w:rsidR="00164380" w:rsidRPr="001A0074" w:rsidRDefault="0016438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B6224B">
            <w:pPr>
              <w:pStyle w:val="ProductList-OfferingBody"/>
              <w:jc w:val="center"/>
              <w:rPr>
                <w:color w:val="FFFFFF" w:themeColor="background1"/>
              </w:rPr>
            </w:pPr>
            <w:r>
              <w:rPr>
                <w:color w:val="FFFFFF" w:themeColor="background1"/>
              </w:rPr>
              <w:t>Avoir Service</w:t>
            </w:r>
          </w:p>
        </w:tc>
      </w:tr>
      <w:tr w:rsidR="00164380" w:rsidRPr="002928A2" w14:paraId="4017E621" w14:textId="77777777" w:rsidTr="007B4942">
        <w:tc>
          <w:tcPr>
            <w:tcW w:w="5400" w:type="dxa"/>
          </w:tcPr>
          <w:p w14:paraId="17D3CBDA" w14:textId="77777777" w:rsidR="00164380" w:rsidRPr="0076238C" w:rsidRDefault="00164380" w:rsidP="00B6224B">
            <w:pPr>
              <w:pStyle w:val="ProductList-OfferingBody"/>
              <w:jc w:val="center"/>
            </w:pPr>
            <w:r>
              <w:t>&lt; 99,9%</w:t>
            </w:r>
          </w:p>
        </w:tc>
        <w:tc>
          <w:tcPr>
            <w:tcW w:w="5400" w:type="dxa"/>
          </w:tcPr>
          <w:p w14:paraId="33402D55" w14:textId="77777777" w:rsidR="00164380" w:rsidRPr="0076238C" w:rsidRDefault="00164380" w:rsidP="00B6224B">
            <w:pPr>
              <w:pStyle w:val="ProductList-OfferingBody"/>
              <w:jc w:val="center"/>
            </w:pPr>
            <w:r>
              <w:t>25%</w:t>
            </w:r>
          </w:p>
        </w:tc>
      </w:tr>
      <w:tr w:rsidR="00164380" w:rsidRPr="002928A2" w14:paraId="586C9050" w14:textId="77777777" w:rsidTr="007B4942">
        <w:tc>
          <w:tcPr>
            <w:tcW w:w="5400" w:type="dxa"/>
          </w:tcPr>
          <w:p w14:paraId="6FE44811" w14:textId="77777777" w:rsidR="00164380" w:rsidRPr="0076238C" w:rsidRDefault="00164380" w:rsidP="00B6224B">
            <w:pPr>
              <w:pStyle w:val="ProductList-OfferingBody"/>
              <w:jc w:val="center"/>
            </w:pPr>
            <w:r>
              <w:t>&lt; 99%</w:t>
            </w:r>
          </w:p>
        </w:tc>
        <w:tc>
          <w:tcPr>
            <w:tcW w:w="5400" w:type="dxa"/>
          </w:tcPr>
          <w:p w14:paraId="23ADAA57" w14:textId="77777777" w:rsidR="00164380" w:rsidRPr="0076238C" w:rsidRDefault="00164380" w:rsidP="00B6224B">
            <w:pPr>
              <w:pStyle w:val="ProductList-OfferingBody"/>
              <w:jc w:val="center"/>
            </w:pPr>
            <w:r>
              <w:t>50%</w:t>
            </w:r>
          </w:p>
        </w:tc>
      </w:tr>
      <w:tr w:rsidR="00164380" w:rsidRPr="002928A2" w14:paraId="04732DA7" w14:textId="77777777" w:rsidTr="007B4942">
        <w:tc>
          <w:tcPr>
            <w:tcW w:w="5400" w:type="dxa"/>
          </w:tcPr>
          <w:p w14:paraId="57E93C8E" w14:textId="77777777" w:rsidR="00164380" w:rsidRPr="0076238C" w:rsidRDefault="00164380" w:rsidP="00B6224B">
            <w:pPr>
              <w:pStyle w:val="ProductList-OfferingBody"/>
              <w:jc w:val="center"/>
            </w:pPr>
            <w:r>
              <w:t>&lt; 95%</w:t>
            </w:r>
          </w:p>
        </w:tc>
        <w:tc>
          <w:tcPr>
            <w:tcW w:w="5400" w:type="dxa"/>
          </w:tcPr>
          <w:p w14:paraId="29C4F837" w14:textId="77777777" w:rsidR="00164380" w:rsidRPr="0076238C" w:rsidRDefault="00164380" w:rsidP="00B6224B">
            <w:pPr>
              <w:pStyle w:val="ProductList-OfferingBody"/>
              <w:jc w:val="center"/>
            </w:pPr>
            <w:r>
              <w:t>100%</w:t>
            </w:r>
          </w:p>
        </w:tc>
      </w:tr>
    </w:tbl>
    <w:bookmarkStart w:id="60" w:name="_Toc480808180"/>
    <w:bookmarkStart w:id="61" w:name="Stream"/>
    <w:bookmarkStart w:id="62" w:name="_Toc525207099"/>
    <w:bookmarkStart w:id="63" w:name="_Toc526859625"/>
    <w:p w14:paraId="213DB3E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ACFC1C" w14:textId="77777777" w:rsidR="00335E32" w:rsidRPr="00815D37" w:rsidRDefault="00335E32" w:rsidP="00B6224B">
      <w:pPr>
        <w:pStyle w:val="ProductList-Offering2Heading"/>
        <w:outlineLvl w:val="2"/>
      </w:pPr>
      <w:bookmarkStart w:id="64" w:name="_Toc65680405"/>
      <w:r>
        <w:t>Microsoft Stream</w:t>
      </w:r>
      <w:bookmarkEnd w:id="60"/>
      <w:bookmarkEnd w:id="64"/>
    </w:p>
    <w:bookmarkEnd w:id="61"/>
    <w:p w14:paraId="76509C81" w14:textId="77777777" w:rsidR="00335E32" w:rsidRPr="00815D37" w:rsidRDefault="00335E32" w:rsidP="00B6224B">
      <w:pPr>
        <w:pStyle w:val="ProductList-Body"/>
      </w:pPr>
      <w:r>
        <w:rPr>
          <w:b/>
          <w:color w:val="00188F"/>
        </w:rPr>
        <w:t>Temps d’Indisponibilité</w:t>
      </w:r>
      <w:r>
        <w:t> </w:t>
      </w:r>
      <w:r w:rsidRPr="006E70DE">
        <w:t>:</w:t>
      </w:r>
      <w:r>
        <w:t xml:space="preserve"> </w:t>
      </w:r>
      <w:r>
        <w:rPr>
          <w:szCs w:val="18"/>
        </w:rPr>
        <w:t xml:space="preserve">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w:t>
      </w:r>
      <w:proofErr w:type="spellStart"/>
      <w:r>
        <w:rPr>
          <w:szCs w:val="18"/>
        </w:rPr>
        <w:t>charge</w:t>
      </w:r>
      <w:r>
        <w:rPr>
          <w:szCs w:val="18"/>
          <w:vertAlign w:val="superscript"/>
        </w:rPr>
        <w:t>1</w:t>
      </w:r>
      <w:proofErr w:type="spellEnd"/>
      <w:r>
        <w:rPr>
          <w:szCs w:val="18"/>
        </w:rPr>
        <w:t>.</w:t>
      </w:r>
    </w:p>
    <w:p w14:paraId="0D90F501" w14:textId="77777777" w:rsidR="00335E32" w:rsidRPr="00815D37" w:rsidRDefault="00335E32" w:rsidP="00B6224B">
      <w:pPr>
        <w:pStyle w:val="ProductList-Body"/>
      </w:pPr>
    </w:p>
    <w:p w14:paraId="0D13EFD3" w14:textId="77777777" w:rsidR="00335E32" w:rsidRPr="00815D37" w:rsidRDefault="00335E32"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0E41791" w14:textId="77777777" w:rsidR="00335E32" w:rsidRPr="00815D37" w:rsidRDefault="00335E32" w:rsidP="00B6224B">
      <w:pPr>
        <w:pStyle w:val="ProductList-Body"/>
      </w:pPr>
    </w:p>
    <w:p w14:paraId="5968EC11" w14:textId="77777777" w:rsidR="00335E32" w:rsidRPr="002928A2" w:rsidRDefault="00065349"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9353293" w14:textId="77777777" w:rsidR="00335E32" w:rsidRPr="00815D37" w:rsidRDefault="00335E32"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8E2088A" w14:textId="77777777" w:rsidR="00335E32" w:rsidRPr="00815D37" w:rsidRDefault="00335E32" w:rsidP="00B6224B">
      <w:pPr>
        <w:pStyle w:val="ProductList-Body"/>
      </w:pPr>
    </w:p>
    <w:p w14:paraId="126E9FDB" w14:textId="77777777" w:rsidR="00335E32" w:rsidRPr="00815D37" w:rsidRDefault="00335E32" w:rsidP="00B6224B">
      <w:pPr>
        <w:pStyle w:val="ProductList-Body"/>
      </w:pPr>
      <w:r>
        <w:rPr>
          <w:b/>
          <w:color w:val="00188F"/>
        </w:rPr>
        <w:t>Engagement de Niveau de Service</w:t>
      </w:r>
      <w:r>
        <w:t>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35E32" w:rsidRPr="002928A2" w14:paraId="0813F8D1" w14:textId="77777777" w:rsidTr="009C340C">
        <w:trPr>
          <w:tblHeader/>
        </w:trPr>
        <w:tc>
          <w:tcPr>
            <w:tcW w:w="2500" w:type="pct"/>
            <w:shd w:val="clear" w:color="auto" w:fill="0072C6"/>
          </w:tcPr>
          <w:p w14:paraId="38F742A4" w14:textId="77777777" w:rsidR="00335E32" w:rsidRPr="001A0074" w:rsidRDefault="00335E32" w:rsidP="00B6224B">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00C45C42" w14:textId="77777777" w:rsidR="00335E32" w:rsidRPr="001A0074" w:rsidRDefault="00335E32" w:rsidP="00B6224B">
            <w:pPr>
              <w:pStyle w:val="ProductList-OfferingBody"/>
              <w:jc w:val="center"/>
              <w:rPr>
                <w:color w:val="FFFFFF" w:themeColor="background1"/>
              </w:rPr>
            </w:pPr>
            <w:r>
              <w:rPr>
                <w:color w:val="FFFFFF" w:themeColor="background1"/>
              </w:rPr>
              <w:t>Avoir Service</w:t>
            </w:r>
          </w:p>
        </w:tc>
      </w:tr>
      <w:tr w:rsidR="00335E32" w:rsidRPr="002928A2" w14:paraId="1744AC3A" w14:textId="77777777" w:rsidTr="009C340C">
        <w:tc>
          <w:tcPr>
            <w:tcW w:w="2500" w:type="pct"/>
          </w:tcPr>
          <w:p w14:paraId="013D1D2F" w14:textId="77777777" w:rsidR="00335E32" w:rsidRPr="0076238C" w:rsidRDefault="00335E32" w:rsidP="00B6224B">
            <w:pPr>
              <w:pStyle w:val="ProductList-OfferingBody"/>
              <w:jc w:val="center"/>
            </w:pPr>
            <w:r>
              <w:t>&lt; 99,9 %</w:t>
            </w:r>
          </w:p>
        </w:tc>
        <w:tc>
          <w:tcPr>
            <w:tcW w:w="2500" w:type="pct"/>
          </w:tcPr>
          <w:p w14:paraId="209535FB" w14:textId="77777777" w:rsidR="00335E32" w:rsidRPr="0076238C" w:rsidRDefault="00335E32" w:rsidP="00B6224B">
            <w:pPr>
              <w:pStyle w:val="ProductList-OfferingBody"/>
              <w:jc w:val="center"/>
            </w:pPr>
            <w:r>
              <w:t>25 %</w:t>
            </w:r>
          </w:p>
        </w:tc>
      </w:tr>
      <w:tr w:rsidR="00335E32" w:rsidRPr="002928A2" w14:paraId="4700AA00" w14:textId="77777777" w:rsidTr="009C340C">
        <w:tc>
          <w:tcPr>
            <w:tcW w:w="2500" w:type="pct"/>
          </w:tcPr>
          <w:p w14:paraId="408FDFB9" w14:textId="77777777" w:rsidR="00335E32" w:rsidRPr="0076238C" w:rsidRDefault="00335E32" w:rsidP="00B6224B">
            <w:pPr>
              <w:pStyle w:val="ProductList-OfferingBody"/>
              <w:jc w:val="center"/>
            </w:pPr>
            <w:r>
              <w:t>&lt; 99 %</w:t>
            </w:r>
          </w:p>
        </w:tc>
        <w:tc>
          <w:tcPr>
            <w:tcW w:w="2500" w:type="pct"/>
          </w:tcPr>
          <w:p w14:paraId="6A868DF4" w14:textId="77777777" w:rsidR="00335E32" w:rsidRPr="0076238C" w:rsidRDefault="00335E32" w:rsidP="00B6224B">
            <w:pPr>
              <w:pStyle w:val="ProductList-OfferingBody"/>
              <w:jc w:val="center"/>
            </w:pPr>
            <w:r>
              <w:t>50 %</w:t>
            </w:r>
          </w:p>
        </w:tc>
      </w:tr>
      <w:tr w:rsidR="00335E32" w:rsidRPr="002928A2" w14:paraId="5A38C6A4" w14:textId="77777777" w:rsidTr="009C340C">
        <w:tc>
          <w:tcPr>
            <w:tcW w:w="2500" w:type="pct"/>
          </w:tcPr>
          <w:p w14:paraId="7F868C1A" w14:textId="77777777" w:rsidR="00335E32" w:rsidRPr="0076238C" w:rsidRDefault="00335E32" w:rsidP="00B6224B">
            <w:pPr>
              <w:pStyle w:val="ProductList-OfferingBody"/>
              <w:jc w:val="center"/>
            </w:pPr>
            <w:r>
              <w:t>&lt; 95 %</w:t>
            </w:r>
          </w:p>
        </w:tc>
        <w:tc>
          <w:tcPr>
            <w:tcW w:w="2500" w:type="pct"/>
          </w:tcPr>
          <w:p w14:paraId="67B9B3EF" w14:textId="77777777" w:rsidR="00335E32" w:rsidRPr="0076238C" w:rsidRDefault="00335E32" w:rsidP="00B6224B">
            <w:pPr>
              <w:pStyle w:val="ProductList-OfferingBody"/>
              <w:jc w:val="center"/>
            </w:pPr>
            <w:r>
              <w:t>100 %</w:t>
            </w:r>
          </w:p>
        </w:tc>
      </w:tr>
    </w:tbl>
    <w:p w14:paraId="4F297438" w14:textId="77777777" w:rsidR="00335E32" w:rsidRPr="00815D37" w:rsidRDefault="00335E32" w:rsidP="00B6224B">
      <w:pPr>
        <w:pStyle w:val="ProductList-Body"/>
      </w:pPr>
    </w:p>
    <w:p w14:paraId="045C5EBD" w14:textId="77777777" w:rsidR="00335E32" w:rsidRPr="00815D37" w:rsidRDefault="00335E32" w:rsidP="00B6224B">
      <w:pPr>
        <w:pStyle w:val="ProductList-Body"/>
      </w:pPr>
      <w:r>
        <w:rPr>
          <w:b/>
          <w:color w:val="00188F"/>
        </w:rPr>
        <w:t>Exceptions de Niveau de Service</w:t>
      </w:r>
      <w:r>
        <w:t> </w:t>
      </w:r>
      <w:r w:rsidRPr="006E70DE">
        <w:t>:</w:t>
      </w:r>
      <w:r>
        <w:t xml:space="preserve"> Aucun contrat SLA n’est fourni pour l’édition gratuite de Microsoft Stream.</w:t>
      </w:r>
      <w:r>
        <w:br/>
      </w:r>
    </w:p>
    <w:p w14:paraId="66AB3CB1" w14:textId="77777777" w:rsidR="00335E32" w:rsidRDefault="00335E32" w:rsidP="00B6224B">
      <w:pPr>
        <w:rPr>
          <w:sz w:val="18"/>
        </w:rPr>
      </w:pPr>
      <w:proofErr w:type="spellStart"/>
      <w:r>
        <w:rPr>
          <w:sz w:val="18"/>
          <w:vertAlign w:val="superscript"/>
        </w:rPr>
        <w:t>1</w:t>
      </w:r>
      <w:r>
        <w:rPr>
          <w:sz w:val="18"/>
        </w:rPr>
        <w:t>Les</w:t>
      </w:r>
      <w:proofErr w:type="spellEnd"/>
      <w:r>
        <w:rPr>
          <w:sz w:val="18"/>
        </w:rPr>
        <w:t xml:space="preserve"> scénarios non pris en charge pourraient inclure la lecture sur des appareils/systèmes d’exploitation non compatibles, des erreurs réseau côté client et des erreurs des utilisateurs.</w:t>
      </w:r>
    </w:p>
    <w:p w14:paraId="30A1C2CA" w14:textId="77777777" w:rsidR="009C340C" w:rsidRPr="00FB368F" w:rsidRDefault="00065349"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F4C155E" w14:textId="158BB1A9" w:rsidR="00A40F90" w:rsidRPr="002B713E" w:rsidRDefault="00A40F90" w:rsidP="00B6224B">
      <w:pPr>
        <w:pStyle w:val="ProductList-Offering2Heading"/>
        <w:outlineLvl w:val="2"/>
      </w:pPr>
      <w:bookmarkStart w:id="65" w:name="_Toc65680406"/>
      <w:r>
        <w:t xml:space="preserve">Microsoft </w:t>
      </w:r>
      <w:bookmarkEnd w:id="62"/>
      <w:r>
        <w:t>Teams</w:t>
      </w:r>
      <w:bookmarkEnd w:id="63"/>
      <w:bookmarkEnd w:id="65"/>
    </w:p>
    <w:p w14:paraId="44DC6A53" w14:textId="77777777" w:rsidR="00A40F90" w:rsidRPr="002B713E" w:rsidRDefault="00A40F90" w:rsidP="00B6224B">
      <w:pPr>
        <w:pStyle w:val="ProductList-Body"/>
      </w:pPr>
      <w:r>
        <w:rPr>
          <w:b/>
          <w:color w:val="00188F"/>
        </w:rPr>
        <w:t>Temps d’Indisponibilité</w:t>
      </w:r>
      <w:r>
        <w:t> </w:t>
      </w:r>
      <w:r w:rsidRPr="001C0AF8">
        <w:rPr>
          <w:b/>
        </w:rPr>
        <w:t>:</w:t>
      </w:r>
      <w:r>
        <w:t xml:space="preserve"> Toute période au cours de laquelle les utilisateurs finaux sont dans l’impossibilité d’</w:t>
      </w:r>
      <w:r>
        <w:rPr>
          <w:szCs w:val="18"/>
        </w:rPr>
        <w:t xml:space="preserve">afficher l’état de présence, d’avoir des conversations de messagerie instantanée ou d’initier des réunions en </w:t>
      </w:r>
      <w:proofErr w:type="spellStart"/>
      <w:r>
        <w:rPr>
          <w:szCs w:val="18"/>
        </w:rPr>
        <w:t>ligne</w:t>
      </w:r>
      <w:r>
        <w:t>.</w:t>
      </w:r>
      <w:r>
        <w:rPr>
          <w:vertAlign w:val="superscript"/>
        </w:rPr>
        <w:t>1</w:t>
      </w:r>
      <w:proofErr w:type="spellEnd"/>
    </w:p>
    <w:p w14:paraId="523AFD70" w14:textId="77777777" w:rsidR="00A90E39" w:rsidRPr="0051699C" w:rsidRDefault="00A90E39" w:rsidP="00B6224B">
      <w:pPr>
        <w:pStyle w:val="ProductList-Body"/>
      </w:pPr>
    </w:p>
    <w:p w14:paraId="3C19A1B5" w14:textId="77777777" w:rsidR="00A90E39" w:rsidRPr="0051699C" w:rsidRDefault="00A90E39" w:rsidP="00B872D6">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5D656F" w14:textId="77777777" w:rsidR="00A90E39" w:rsidRPr="0051699C" w:rsidRDefault="00A90E39" w:rsidP="00B6224B">
      <w:pPr>
        <w:pStyle w:val="ProductList-Body"/>
      </w:pPr>
    </w:p>
    <w:p w14:paraId="20093482" w14:textId="77777777" w:rsidR="00A90E39" w:rsidRPr="002928A2" w:rsidRDefault="00065349"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B6224B">
      <w:pPr>
        <w:pStyle w:val="ProductList-Body"/>
      </w:pPr>
    </w:p>
    <w:p w14:paraId="1678A14B" w14:textId="77777777" w:rsidR="00A90E39" w:rsidRPr="0051699C" w:rsidRDefault="00A90E39" w:rsidP="004732EE">
      <w:pPr>
        <w:pStyle w:val="ProductList-Body"/>
        <w:keepNext/>
      </w:pPr>
      <w:r>
        <w:rPr>
          <w:b/>
          <w:color w:val="00188F"/>
        </w:rPr>
        <w:lastRenderedPageBreak/>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2ABAF444" w14:textId="77777777" w:rsidTr="007B4942">
        <w:trPr>
          <w:tblHeader/>
        </w:trPr>
        <w:tc>
          <w:tcPr>
            <w:tcW w:w="5400" w:type="dxa"/>
            <w:shd w:val="clear" w:color="auto" w:fill="0072C6"/>
          </w:tcPr>
          <w:p w14:paraId="2CD0864D" w14:textId="77777777" w:rsidR="00A90E39" w:rsidRPr="001A0074" w:rsidRDefault="00A90E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B6224B">
            <w:pPr>
              <w:pStyle w:val="ProductList-OfferingBody"/>
              <w:jc w:val="center"/>
              <w:rPr>
                <w:color w:val="FFFFFF" w:themeColor="background1"/>
              </w:rPr>
            </w:pPr>
            <w:r>
              <w:rPr>
                <w:color w:val="FFFFFF" w:themeColor="background1"/>
              </w:rPr>
              <w:t>Avoir Service</w:t>
            </w:r>
          </w:p>
        </w:tc>
      </w:tr>
      <w:tr w:rsidR="00A90E39" w:rsidRPr="002928A2" w14:paraId="3AA91E96" w14:textId="77777777" w:rsidTr="007B4942">
        <w:tc>
          <w:tcPr>
            <w:tcW w:w="5400" w:type="dxa"/>
          </w:tcPr>
          <w:p w14:paraId="6139AAB8" w14:textId="77777777" w:rsidR="00A90E39" w:rsidRPr="0076238C" w:rsidRDefault="00A90E39" w:rsidP="00B6224B">
            <w:pPr>
              <w:pStyle w:val="ProductList-OfferingBody"/>
              <w:jc w:val="center"/>
            </w:pPr>
            <w:r>
              <w:t>&lt; 99,9 %</w:t>
            </w:r>
          </w:p>
        </w:tc>
        <w:tc>
          <w:tcPr>
            <w:tcW w:w="5400" w:type="dxa"/>
          </w:tcPr>
          <w:p w14:paraId="7C5742C3" w14:textId="77777777" w:rsidR="00A90E39" w:rsidRPr="0076238C" w:rsidRDefault="00A90E39" w:rsidP="00B6224B">
            <w:pPr>
              <w:pStyle w:val="ProductList-OfferingBody"/>
              <w:jc w:val="center"/>
            </w:pPr>
            <w:r>
              <w:t>25 %</w:t>
            </w:r>
          </w:p>
        </w:tc>
      </w:tr>
      <w:tr w:rsidR="00A90E39" w:rsidRPr="002928A2" w14:paraId="19981F3E" w14:textId="77777777" w:rsidTr="007B4942">
        <w:tc>
          <w:tcPr>
            <w:tcW w:w="5400" w:type="dxa"/>
          </w:tcPr>
          <w:p w14:paraId="05074221" w14:textId="77777777" w:rsidR="00A90E39" w:rsidRPr="0076238C" w:rsidRDefault="00A90E39" w:rsidP="00B6224B">
            <w:pPr>
              <w:pStyle w:val="ProductList-OfferingBody"/>
              <w:jc w:val="center"/>
            </w:pPr>
            <w:r>
              <w:t>&lt; 99 %</w:t>
            </w:r>
          </w:p>
        </w:tc>
        <w:tc>
          <w:tcPr>
            <w:tcW w:w="5400" w:type="dxa"/>
          </w:tcPr>
          <w:p w14:paraId="0280931B" w14:textId="77777777" w:rsidR="00A90E39" w:rsidRPr="0076238C" w:rsidRDefault="00A90E39" w:rsidP="00B6224B">
            <w:pPr>
              <w:pStyle w:val="ProductList-OfferingBody"/>
              <w:jc w:val="center"/>
            </w:pPr>
            <w:r>
              <w:t>50 %</w:t>
            </w:r>
          </w:p>
        </w:tc>
      </w:tr>
      <w:tr w:rsidR="00A90E39" w:rsidRPr="002928A2" w14:paraId="7BA70869" w14:textId="77777777" w:rsidTr="007B4942">
        <w:tc>
          <w:tcPr>
            <w:tcW w:w="5400" w:type="dxa"/>
          </w:tcPr>
          <w:p w14:paraId="7BF35C59" w14:textId="77777777" w:rsidR="00A90E39" w:rsidRPr="0076238C" w:rsidRDefault="00A90E39" w:rsidP="00B6224B">
            <w:pPr>
              <w:pStyle w:val="ProductList-OfferingBody"/>
              <w:jc w:val="center"/>
            </w:pPr>
            <w:r>
              <w:t>&lt; 95 %</w:t>
            </w:r>
          </w:p>
        </w:tc>
        <w:tc>
          <w:tcPr>
            <w:tcW w:w="5400" w:type="dxa"/>
          </w:tcPr>
          <w:p w14:paraId="422AB679" w14:textId="77777777" w:rsidR="00A90E39" w:rsidRPr="0076238C" w:rsidRDefault="00A90E39" w:rsidP="00B6224B">
            <w:pPr>
              <w:pStyle w:val="ProductList-OfferingBody"/>
              <w:jc w:val="center"/>
            </w:pPr>
            <w:r>
              <w:t>100 %</w:t>
            </w:r>
          </w:p>
        </w:tc>
      </w:tr>
    </w:tbl>
    <w:p w14:paraId="46D01BCE" w14:textId="77777777" w:rsidR="00A40F90" w:rsidRPr="002B713E" w:rsidRDefault="00A40F90" w:rsidP="00B6224B">
      <w:pPr>
        <w:pStyle w:val="ProductList-Body"/>
      </w:pPr>
      <w:proofErr w:type="spellStart"/>
      <w:r>
        <w:rPr>
          <w:vertAlign w:val="superscript"/>
        </w:rPr>
        <w:t>1</w:t>
      </w:r>
      <w:r>
        <w:rPr>
          <w:sz w:val="16"/>
          <w:szCs w:val="16"/>
        </w:rPr>
        <w:t>La</w:t>
      </w:r>
      <w:proofErr w:type="spellEnd"/>
      <w:r>
        <w:rPr>
          <w:sz w:val="16"/>
          <w:szCs w:val="16"/>
        </w:rPr>
        <w:t xml:space="preserve"> fonctionnalité Réunion en ligne concerne uniquement les utilisateurs disposant d'une licence pour le Service Skype Entreprise Online Plan 2.</w:t>
      </w:r>
    </w:p>
    <w:p w14:paraId="48BA799A" w14:textId="77777777" w:rsidR="009C340C" w:rsidRPr="00FB368F" w:rsidRDefault="00065349"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31189D" w14:textId="622E0EF5" w:rsidR="008C5EDB" w:rsidRPr="008E64FF" w:rsidRDefault="00F06064" w:rsidP="00B6224B">
      <w:pPr>
        <w:pStyle w:val="ProductList-Offering2Heading"/>
        <w:rPr>
          <w:lang w:eastAsia="en-US" w:bidi="ar-SA"/>
        </w:rPr>
      </w:pPr>
      <w:bookmarkStart w:id="66" w:name="_Hlk37926720"/>
      <w:bookmarkStart w:id="67" w:name="_Toc65680407"/>
      <w:r>
        <w:t xml:space="preserve">Microsoft 365 Apps for </w:t>
      </w:r>
      <w:r w:rsidR="001026E6">
        <w:t>b</w:t>
      </w:r>
      <w:r>
        <w:t>usiness</w:t>
      </w:r>
      <w:bookmarkEnd w:id="66"/>
      <w:bookmarkEnd w:id="67"/>
    </w:p>
    <w:p w14:paraId="7289F7AE" w14:textId="547E57C8" w:rsidR="008C5EDB" w:rsidRPr="00FB368F" w:rsidRDefault="008C5EDB"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B6224B">
      <w:pPr>
        <w:pStyle w:val="ProductList-Body"/>
      </w:pPr>
    </w:p>
    <w:p w14:paraId="53E63742" w14:textId="53FDEA54" w:rsidR="008C5EDB"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F1373B4" w14:textId="77777777" w:rsidR="0075506A" w:rsidRPr="00FB368F" w:rsidRDefault="0075506A" w:rsidP="00B6224B">
      <w:pPr>
        <w:pStyle w:val="ProductList-Body"/>
      </w:pPr>
    </w:p>
    <w:p w14:paraId="35067700" w14:textId="1B5323A1" w:rsidR="008C5EDB" w:rsidRPr="002928A2" w:rsidRDefault="00065349"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B6224B">
      <w:pPr>
        <w:pStyle w:val="ProductList-Body"/>
      </w:pPr>
    </w:p>
    <w:p w14:paraId="11375DC1" w14:textId="66D7E674"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465FECB" w14:textId="77777777" w:rsidTr="00183F48">
        <w:trPr>
          <w:tblHeader/>
        </w:trPr>
        <w:tc>
          <w:tcPr>
            <w:tcW w:w="5400" w:type="dxa"/>
            <w:shd w:val="clear" w:color="auto" w:fill="0072C6"/>
          </w:tcPr>
          <w:p w14:paraId="14148105"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7F314A2F" w14:textId="77777777" w:rsidTr="00183F48">
        <w:tc>
          <w:tcPr>
            <w:tcW w:w="5400" w:type="dxa"/>
          </w:tcPr>
          <w:p w14:paraId="27EC60BA" w14:textId="491322A6" w:rsidR="008C5EDB" w:rsidRPr="0076238C" w:rsidRDefault="008C5EDB" w:rsidP="00B6224B">
            <w:pPr>
              <w:pStyle w:val="ProductList-OfferingBody"/>
              <w:jc w:val="center"/>
            </w:pPr>
            <w:r>
              <w:t>&lt; 99,9 %</w:t>
            </w:r>
          </w:p>
        </w:tc>
        <w:tc>
          <w:tcPr>
            <w:tcW w:w="5400" w:type="dxa"/>
          </w:tcPr>
          <w:p w14:paraId="32479524" w14:textId="7FA91631" w:rsidR="008C5EDB" w:rsidRPr="0076238C" w:rsidRDefault="008C5EDB" w:rsidP="00B6224B">
            <w:pPr>
              <w:pStyle w:val="ProductList-OfferingBody"/>
              <w:jc w:val="center"/>
            </w:pPr>
            <w:r>
              <w:t>25</w:t>
            </w:r>
            <w:r w:rsidR="00196F02">
              <w:t xml:space="preserve"> </w:t>
            </w:r>
            <w:r>
              <w:t>%</w:t>
            </w:r>
          </w:p>
        </w:tc>
      </w:tr>
      <w:tr w:rsidR="008C5EDB" w:rsidRPr="002928A2" w14:paraId="3B51D863" w14:textId="77777777" w:rsidTr="00183F48">
        <w:tc>
          <w:tcPr>
            <w:tcW w:w="5400" w:type="dxa"/>
          </w:tcPr>
          <w:p w14:paraId="20F7F18D" w14:textId="7E2505C1" w:rsidR="008C5EDB" w:rsidRPr="0076238C" w:rsidRDefault="008C5EDB" w:rsidP="00B6224B">
            <w:pPr>
              <w:pStyle w:val="ProductList-OfferingBody"/>
              <w:jc w:val="center"/>
            </w:pPr>
            <w:r>
              <w:t>&lt; 99 %</w:t>
            </w:r>
          </w:p>
        </w:tc>
        <w:tc>
          <w:tcPr>
            <w:tcW w:w="5400" w:type="dxa"/>
          </w:tcPr>
          <w:p w14:paraId="62FA6717" w14:textId="14C54320" w:rsidR="008C5EDB" w:rsidRPr="0076238C" w:rsidRDefault="008C5EDB" w:rsidP="00B6224B">
            <w:pPr>
              <w:pStyle w:val="ProductList-OfferingBody"/>
              <w:jc w:val="center"/>
            </w:pPr>
            <w:r>
              <w:t>50</w:t>
            </w:r>
            <w:r w:rsidR="00196F02">
              <w:t xml:space="preserve"> </w:t>
            </w:r>
            <w:r>
              <w:t>%</w:t>
            </w:r>
          </w:p>
        </w:tc>
      </w:tr>
      <w:tr w:rsidR="008C5EDB" w:rsidRPr="002928A2" w14:paraId="6129A967" w14:textId="77777777" w:rsidTr="00183F48">
        <w:tc>
          <w:tcPr>
            <w:tcW w:w="5400" w:type="dxa"/>
          </w:tcPr>
          <w:p w14:paraId="4DE7318B" w14:textId="77777777" w:rsidR="008C5EDB" w:rsidRPr="0076238C" w:rsidRDefault="008C5EDB" w:rsidP="00B6224B">
            <w:pPr>
              <w:pStyle w:val="ProductList-OfferingBody"/>
              <w:jc w:val="center"/>
            </w:pPr>
            <w:r>
              <w:t>&lt; 95 %</w:t>
            </w:r>
          </w:p>
        </w:tc>
        <w:tc>
          <w:tcPr>
            <w:tcW w:w="5400" w:type="dxa"/>
          </w:tcPr>
          <w:p w14:paraId="39648AB2" w14:textId="6EACD6B3" w:rsidR="008C5EDB" w:rsidRPr="0076238C" w:rsidRDefault="008C5EDB" w:rsidP="00B6224B">
            <w:pPr>
              <w:pStyle w:val="ProductList-OfferingBody"/>
              <w:jc w:val="center"/>
            </w:pPr>
            <w:r>
              <w:t>100</w:t>
            </w:r>
            <w:r w:rsidR="00196F02">
              <w:t xml:space="preserve"> </w:t>
            </w:r>
            <w:r>
              <w:t>%</w:t>
            </w:r>
          </w:p>
        </w:tc>
      </w:tr>
    </w:tbl>
    <w:bookmarkStart w:id="68" w:name="_Toc477262542"/>
    <w:bookmarkStart w:id="69" w:name="_Toc457821517"/>
    <w:bookmarkStart w:id="70" w:name="_Toc480808092"/>
    <w:p w14:paraId="34D7E7F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FC93245" w14:textId="0A6712BF" w:rsidR="000C13D4" w:rsidRPr="005A6CF1" w:rsidRDefault="00F06064" w:rsidP="00F06064">
      <w:pPr>
        <w:pStyle w:val="ProductList-Offering2Heading"/>
        <w:rPr>
          <w:lang w:val="en-US" w:eastAsia="en-US" w:bidi="ar-SA"/>
        </w:rPr>
      </w:pPr>
      <w:bookmarkStart w:id="71" w:name="_Hlk37926721"/>
      <w:bookmarkStart w:id="72" w:name="_Toc65680408"/>
      <w:bookmarkEnd w:id="68"/>
      <w:bookmarkEnd w:id="69"/>
      <w:bookmarkEnd w:id="70"/>
      <w:r>
        <w:t xml:space="preserve">Microsoft 365 Apps for </w:t>
      </w:r>
      <w:proofErr w:type="spellStart"/>
      <w:r>
        <w:t>enterprise</w:t>
      </w:r>
      <w:bookmarkEnd w:id="71"/>
      <w:bookmarkEnd w:id="72"/>
      <w:proofErr w:type="spellEnd"/>
    </w:p>
    <w:p w14:paraId="449A5D9A" w14:textId="03B0D021"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B6224B">
      <w:pPr>
        <w:pStyle w:val="ProductList-Body"/>
      </w:pPr>
    </w:p>
    <w:p w14:paraId="05221919" w14:textId="312D2940"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8298982" w14:textId="77777777" w:rsidR="000C13D4" w:rsidRPr="00FB368F" w:rsidRDefault="000C13D4" w:rsidP="00B6224B">
      <w:pPr>
        <w:pStyle w:val="ProductList-Body"/>
      </w:pPr>
    </w:p>
    <w:p w14:paraId="3C8D0742" w14:textId="4CBEE3C3" w:rsidR="000C13D4" w:rsidRPr="002928A2" w:rsidRDefault="00065349"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B6224B">
      <w:pPr>
        <w:pStyle w:val="ProductList-Body"/>
      </w:pPr>
    </w:p>
    <w:p w14:paraId="4D7C630A" w14:textId="29522DE0"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2444FD24" w14:textId="77777777" w:rsidTr="00183F48">
        <w:trPr>
          <w:tblHeader/>
        </w:trPr>
        <w:tc>
          <w:tcPr>
            <w:tcW w:w="5400" w:type="dxa"/>
            <w:shd w:val="clear" w:color="auto" w:fill="0072C6"/>
          </w:tcPr>
          <w:p w14:paraId="37F043F6"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5277ABA6" w14:textId="77777777" w:rsidTr="00183F48">
        <w:tc>
          <w:tcPr>
            <w:tcW w:w="5400" w:type="dxa"/>
          </w:tcPr>
          <w:p w14:paraId="05B0041B" w14:textId="445FE07F" w:rsidR="000C13D4" w:rsidRPr="0076238C" w:rsidRDefault="000C13D4" w:rsidP="00B6224B">
            <w:pPr>
              <w:pStyle w:val="ProductList-OfferingBody"/>
              <w:jc w:val="center"/>
            </w:pPr>
            <w:r>
              <w:t>&lt; 99,9 %</w:t>
            </w:r>
          </w:p>
        </w:tc>
        <w:tc>
          <w:tcPr>
            <w:tcW w:w="5400" w:type="dxa"/>
          </w:tcPr>
          <w:p w14:paraId="4C9A31DC" w14:textId="5C1BDF3E" w:rsidR="000C13D4" w:rsidRPr="0076238C" w:rsidRDefault="000C13D4" w:rsidP="00B6224B">
            <w:pPr>
              <w:pStyle w:val="ProductList-OfferingBody"/>
              <w:jc w:val="center"/>
            </w:pPr>
            <w:r>
              <w:t>25</w:t>
            </w:r>
            <w:r w:rsidR="00CC3274">
              <w:t xml:space="preserve"> </w:t>
            </w:r>
            <w:r>
              <w:t>%</w:t>
            </w:r>
          </w:p>
        </w:tc>
      </w:tr>
      <w:tr w:rsidR="000C13D4" w:rsidRPr="002928A2" w14:paraId="1C8A9049" w14:textId="77777777" w:rsidTr="00183F48">
        <w:tc>
          <w:tcPr>
            <w:tcW w:w="5400" w:type="dxa"/>
          </w:tcPr>
          <w:p w14:paraId="5400DA44" w14:textId="2D3443A0" w:rsidR="000C13D4" w:rsidRPr="0076238C" w:rsidRDefault="000C13D4" w:rsidP="00B6224B">
            <w:pPr>
              <w:pStyle w:val="ProductList-OfferingBody"/>
              <w:jc w:val="center"/>
            </w:pPr>
            <w:r>
              <w:t>&lt; 99 %</w:t>
            </w:r>
          </w:p>
        </w:tc>
        <w:tc>
          <w:tcPr>
            <w:tcW w:w="5400" w:type="dxa"/>
          </w:tcPr>
          <w:p w14:paraId="3FC2502C" w14:textId="34502677" w:rsidR="000C13D4" w:rsidRPr="0076238C" w:rsidRDefault="000C13D4" w:rsidP="00B6224B">
            <w:pPr>
              <w:pStyle w:val="ProductList-OfferingBody"/>
              <w:jc w:val="center"/>
            </w:pPr>
            <w:r>
              <w:t>50</w:t>
            </w:r>
            <w:r w:rsidR="00CC3274">
              <w:t xml:space="preserve"> </w:t>
            </w:r>
            <w:r>
              <w:t>%</w:t>
            </w:r>
          </w:p>
        </w:tc>
      </w:tr>
      <w:tr w:rsidR="000C13D4" w:rsidRPr="002928A2" w14:paraId="7BC013DA" w14:textId="77777777" w:rsidTr="00183F48">
        <w:tc>
          <w:tcPr>
            <w:tcW w:w="5400" w:type="dxa"/>
          </w:tcPr>
          <w:p w14:paraId="0ACE145E" w14:textId="77777777" w:rsidR="000C13D4" w:rsidRPr="0076238C" w:rsidRDefault="000C13D4" w:rsidP="00B6224B">
            <w:pPr>
              <w:pStyle w:val="ProductList-OfferingBody"/>
              <w:jc w:val="center"/>
            </w:pPr>
            <w:r>
              <w:t>&lt; 95 %</w:t>
            </w:r>
          </w:p>
        </w:tc>
        <w:tc>
          <w:tcPr>
            <w:tcW w:w="5400" w:type="dxa"/>
          </w:tcPr>
          <w:p w14:paraId="1EF01771" w14:textId="01E06E03" w:rsidR="000C13D4" w:rsidRPr="0076238C" w:rsidRDefault="000C13D4" w:rsidP="00B6224B">
            <w:pPr>
              <w:pStyle w:val="ProductList-OfferingBody"/>
              <w:jc w:val="center"/>
            </w:pPr>
            <w:r>
              <w:t>100</w:t>
            </w:r>
            <w:r w:rsidR="00CC3274">
              <w:t xml:space="preserve"> </w:t>
            </w:r>
            <w:r>
              <w:t>%</w:t>
            </w:r>
          </w:p>
        </w:tc>
      </w:tr>
    </w:tbl>
    <w:p w14:paraId="0FB58C26" w14:textId="77777777" w:rsidR="009C340C" w:rsidRPr="00FB368F" w:rsidRDefault="00065349"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9ED4A1A" w14:textId="77777777" w:rsidR="00F06064" w:rsidRPr="00815D37" w:rsidRDefault="00F06064" w:rsidP="00F06064">
      <w:pPr>
        <w:pStyle w:val="ProductList-Offering2Heading"/>
        <w:outlineLvl w:val="2"/>
      </w:pPr>
      <w:bookmarkStart w:id="73" w:name="_Toc65680409"/>
      <w:r>
        <w:t>Conformité avancée Office 365</w:t>
      </w:r>
      <w:bookmarkEnd w:id="73"/>
    </w:p>
    <w:p w14:paraId="7F40BFDA" w14:textId="77777777" w:rsidR="00F06064" w:rsidRPr="00815D37" w:rsidRDefault="00F06064" w:rsidP="00F06064">
      <w:pPr>
        <w:pStyle w:val="ProductList-Body"/>
        <w:tabs>
          <w:tab w:val="clear" w:pos="360"/>
        </w:tabs>
      </w:pPr>
      <w:r>
        <w:rPr>
          <w:b/>
          <w:bCs/>
          <w:color w:val="00188F"/>
        </w:rPr>
        <w:t>Temps d’Indisponibilité</w:t>
      </w:r>
      <w:r>
        <w:t> </w:t>
      </w:r>
      <w:r w:rsidRPr="006E70DE">
        <w:t>:</w:t>
      </w:r>
      <w:r>
        <w:t xml:space="preserve"> toute période au cours de laquelle le composant Customer </w:t>
      </w:r>
      <w:proofErr w:type="spellStart"/>
      <w:r>
        <w:t>Lockbox</w:t>
      </w:r>
      <w:proofErr w:type="spellEnd"/>
      <w:r>
        <w:t xml:space="preserve"> de Conformité avancée Office 365 est en mode de fonctionnalités réduites du fait d’un problème d’activation d’Office 365.</w:t>
      </w:r>
    </w:p>
    <w:p w14:paraId="720D0A6C" w14:textId="77777777" w:rsidR="00F06064" w:rsidRPr="0007323F" w:rsidRDefault="00F06064" w:rsidP="00F06064">
      <w:pPr>
        <w:pStyle w:val="ProductList-Body"/>
        <w:ind w:left="360"/>
      </w:pPr>
    </w:p>
    <w:p w14:paraId="7955D7BA" w14:textId="77777777" w:rsidR="00F06064" w:rsidRPr="0007323F" w:rsidRDefault="00F06064" w:rsidP="004732EE">
      <w:pPr>
        <w:pStyle w:val="ProductList-Body"/>
        <w:keepNext/>
        <w:tabs>
          <w:tab w:val="clear" w:pos="360"/>
        </w:tabs>
      </w:pPr>
      <w:r>
        <w:rPr>
          <w:b/>
          <w:bCs/>
          <w:color w:val="00188F"/>
        </w:rPr>
        <w:lastRenderedPageBreak/>
        <w:t>Pourcentage de Temps d’Activité Mensuel</w:t>
      </w:r>
      <w:r>
        <w:t> </w:t>
      </w:r>
      <w:r w:rsidRPr="006E70DE">
        <w:rPr>
          <w:bCs/>
        </w:rPr>
        <w:t>:</w:t>
      </w:r>
      <w:r>
        <w:t xml:space="preserve"> Le Pourcentage de Temps d’Activité Mensuel est calculé à l’aide de la formule suivante </w:t>
      </w:r>
      <w:r w:rsidRPr="006E70DE">
        <w:t>:</w:t>
      </w:r>
    </w:p>
    <w:p w14:paraId="6D41FC92" w14:textId="77777777" w:rsidR="00F06064" w:rsidRPr="0007323F" w:rsidRDefault="00F06064" w:rsidP="004732EE">
      <w:pPr>
        <w:pStyle w:val="ProductList-Body"/>
        <w:keepNext/>
        <w:ind w:left="360"/>
      </w:pPr>
    </w:p>
    <w:p w14:paraId="17834C93" w14:textId="77777777" w:rsidR="00F06064" w:rsidRPr="002928A2" w:rsidRDefault="00065349" w:rsidP="00F06064">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231D6DA9" w14:textId="77777777" w:rsidR="00F06064" w:rsidRPr="0007323F" w:rsidRDefault="00F06064" w:rsidP="00F06064">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B04A018" w14:textId="77777777" w:rsidR="00F06064" w:rsidRPr="0007323F" w:rsidRDefault="00F06064" w:rsidP="00F06064">
      <w:pPr>
        <w:pStyle w:val="ProductList-Body"/>
        <w:ind w:left="360"/>
      </w:pPr>
    </w:p>
    <w:p w14:paraId="3B7E9F4C" w14:textId="77777777" w:rsidR="00F06064" w:rsidRPr="0007323F" w:rsidRDefault="00F06064" w:rsidP="00F06064">
      <w:pPr>
        <w:pStyle w:val="ProductList-Body"/>
      </w:pPr>
      <w:r>
        <w:rPr>
          <w:b/>
          <w:bCs/>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6064" w:rsidRPr="002928A2" w14:paraId="12B012DE" w14:textId="77777777" w:rsidTr="00821000">
        <w:trPr>
          <w:tblHeader/>
        </w:trPr>
        <w:tc>
          <w:tcPr>
            <w:tcW w:w="5400" w:type="dxa"/>
            <w:shd w:val="clear" w:color="auto" w:fill="0072C6"/>
          </w:tcPr>
          <w:p w14:paraId="03B1F3A4" w14:textId="77777777" w:rsidR="00F06064" w:rsidRPr="001A0074" w:rsidRDefault="00F06064"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DC8390" w14:textId="77777777" w:rsidR="00F06064" w:rsidRPr="001A0074" w:rsidRDefault="00F06064" w:rsidP="00821000">
            <w:pPr>
              <w:pStyle w:val="ProductList-OfferingBody"/>
              <w:jc w:val="center"/>
              <w:rPr>
                <w:color w:val="FFFFFF" w:themeColor="background1"/>
              </w:rPr>
            </w:pPr>
            <w:r>
              <w:rPr>
                <w:color w:val="FFFFFF" w:themeColor="background1"/>
              </w:rPr>
              <w:t>Avoir Service</w:t>
            </w:r>
          </w:p>
        </w:tc>
      </w:tr>
      <w:tr w:rsidR="00F06064" w:rsidRPr="002928A2" w14:paraId="26562278" w14:textId="77777777" w:rsidTr="00821000">
        <w:tc>
          <w:tcPr>
            <w:tcW w:w="5400" w:type="dxa"/>
          </w:tcPr>
          <w:p w14:paraId="07D0832D" w14:textId="77777777" w:rsidR="00F06064" w:rsidRPr="0076238C" w:rsidRDefault="00F06064" w:rsidP="00821000">
            <w:pPr>
              <w:pStyle w:val="ProductList-OfferingBody"/>
              <w:jc w:val="center"/>
            </w:pPr>
            <w:r>
              <w:t>&lt; 99,9 %</w:t>
            </w:r>
          </w:p>
        </w:tc>
        <w:tc>
          <w:tcPr>
            <w:tcW w:w="5400" w:type="dxa"/>
          </w:tcPr>
          <w:p w14:paraId="6545157C" w14:textId="77777777" w:rsidR="00F06064" w:rsidRPr="0076238C" w:rsidRDefault="00F06064" w:rsidP="00821000">
            <w:pPr>
              <w:pStyle w:val="ProductList-OfferingBody"/>
              <w:jc w:val="center"/>
            </w:pPr>
            <w:r>
              <w:t>25 %</w:t>
            </w:r>
          </w:p>
        </w:tc>
      </w:tr>
      <w:tr w:rsidR="00F06064" w:rsidRPr="002928A2" w14:paraId="404B9552" w14:textId="77777777" w:rsidTr="00821000">
        <w:tc>
          <w:tcPr>
            <w:tcW w:w="5400" w:type="dxa"/>
          </w:tcPr>
          <w:p w14:paraId="51752910" w14:textId="77777777" w:rsidR="00F06064" w:rsidRPr="0076238C" w:rsidRDefault="00F06064" w:rsidP="00821000">
            <w:pPr>
              <w:pStyle w:val="ProductList-OfferingBody"/>
              <w:jc w:val="center"/>
            </w:pPr>
            <w:r>
              <w:t>&lt; 99 %</w:t>
            </w:r>
          </w:p>
        </w:tc>
        <w:tc>
          <w:tcPr>
            <w:tcW w:w="5400" w:type="dxa"/>
          </w:tcPr>
          <w:p w14:paraId="16B531FE" w14:textId="77777777" w:rsidR="00F06064" w:rsidRPr="0076238C" w:rsidRDefault="00F06064" w:rsidP="00821000">
            <w:pPr>
              <w:pStyle w:val="ProductList-OfferingBody"/>
              <w:jc w:val="center"/>
            </w:pPr>
            <w:r>
              <w:t>50 %</w:t>
            </w:r>
          </w:p>
        </w:tc>
      </w:tr>
      <w:tr w:rsidR="00F06064" w:rsidRPr="002928A2" w14:paraId="382C2BB8" w14:textId="77777777" w:rsidTr="00821000">
        <w:tc>
          <w:tcPr>
            <w:tcW w:w="5400" w:type="dxa"/>
          </w:tcPr>
          <w:p w14:paraId="2EAC3F89" w14:textId="77777777" w:rsidR="00F06064" w:rsidRPr="0076238C" w:rsidRDefault="00F06064" w:rsidP="00821000">
            <w:pPr>
              <w:pStyle w:val="ProductList-OfferingBody"/>
              <w:jc w:val="center"/>
            </w:pPr>
            <w:r>
              <w:t>&lt; 95 %</w:t>
            </w:r>
          </w:p>
        </w:tc>
        <w:tc>
          <w:tcPr>
            <w:tcW w:w="5400" w:type="dxa"/>
          </w:tcPr>
          <w:p w14:paraId="210E2EF5" w14:textId="77777777" w:rsidR="00F06064" w:rsidRPr="0076238C" w:rsidRDefault="00F06064" w:rsidP="00821000">
            <w:pPr>
              <w:pStyle w:val="ProductList-OfferingBody"/>
              <w:jc w:val="center"/>
            </w:pPr>
            <w:r>
              <w:t>100 %</w:t>
            </w:r>
          </w:p>
        </w:tc>
      </w:tr>
    </w:tbl>
    <w:p w14:paraId="11960CF6" w14:textId="77777777" w:rsidR="00F06064" w:rsidRPr="00FB368F" w:rsidRDefault="00065349" w:rsidP="00F06064">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F06064">
          <w:rPr>
            <w:rStyle w:val="Hyperlink"/>
            <w:sz w:val="16"/>
            <w:szCs w:val="16"/>
          </w:rPr>
          <w:t>Table des matières</w:t>
        </w:r>
      </w:hyperlink>
      <w:r w:rsidR="00F06064">
        <w:rPr>
          <w:sz w:val="16"/>
          <w:szCs w:val="16"/>
        </w:rPr>
        <w:t xml:space="preserve"> / </w:t>
      </w:r>
      <w:hyperlink w:anchor="Definitions" w:tooltip="Définitions" w:history="1">
        <w:r w:rsidR="00F06064">
          <w:rPr>
            <w:rStyle w:val="Hyperlink"/>
            <w:sz w:val="16"/>
            <w:szCs w:val="16"/>
          </w:rPr>
          <w:t>Définitions</w:t>
        </w:r>
      </w:hyperlink>
    </w:p>
    <w:p w14:paraId="0F8FB09B" w14:textId="6E361585" w:rsidR="000C13D4" w:rsidRPr="005A6CF1" w:rsidRDefault="004F25AA" w:rsidP="00B6224B">
      <w:pPr>
        <w:pStyle w:val="ProductList-Offering2Heading"/>
        <w:rPr>
          <w:lang w:val="en-US" w:eastAsia="en-US" w:bidi="ar-SA"/>
        </w:rPr>
      </w:pPr>
      <w:bookmarkStart w:id="74" w:name="_Toc65680410"/>
      <w:r w:rsidRPr="005A6CF1">
        <w:rPr>
          <w:lang w:val="en-US" w:eastAsia="en-US" w:bidi="ar-SA"/>
        </w:rPr>
        <w:t>Office Online</w:t>
      </w:r>
      <w:bookmarkEnd w:id="74"/>
    </w:p>
    <w:p w14:paraId="1676D4F2" w14:textId="50B6B4B4"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4732EE" w:rsidRDefault="000C13D4" w:rsidP="00B6224B">
      <w:pPr>
        <w:pStyle w:val="ProductList-Body"/>
        <w:rPr>
          <w:szCs w:val="18"/>
        </w:rPr>
      </w:pPr>
    </w:p>
    <w:p w14:paraId="4C684597" w14:textId="0C3F3E6D"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742A099" w14:textId="77777777" w:rsidR="000C13D4" w:rsidRPr="00A90E39" w:rsidRDefault="000C13D4" w:rsidP="00B6224B">
      <w:pPr>
        <w:pStyle w:val="ProductList-Body"/>
        <w:rPr>
          <w:szCs w:val="14"/>
        </w:rPr>
      </w:pPr>
    </w:p>
    <w:p w14:paraId="3217F941" w14:textId="6F1D4AA3" w:rsidR="000C13D4" w:rsidRPr="002928A2" w:rsidRDefault="00065349"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4732EE" w:rsidRDefault="000C13D4" w:rsidP="00B6224B">
      <w:pPr>
        <w:pStyle w:val="ProductList-Body"/>
        <w:rPr>
          <w:szCs w:val="18"/>
        </w:rPr>
      </w:pPr>
    </w:p>
    <w:p w14:paraId="5C67B0F7" w14:textId="7CCE7B4A"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497068E" w14:textId="77777777" w:rsidTr="00183F48">
        <w:trPr>
          <w:tblHeader/>
        </w:trPr>
        <w:tc>
          <w:tcPr>
            <w:tcW w:w="5400" w:type="dxa"/>
            <w:shd w:val="clear" w:color="auto" w:fill="0072C6"/>
          </w:tcPr>
          <w:p w14:paraId="10FCEBB2"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A2E8D8F" w14:textId="77777777" w:rsidTr="00183F48">
        <w:tc>
          <w:tcPr>
            <w:tcW w:w="5400" w:type="dxa"/>
          </w:tcPr>
          <w:p w14:paraId="20E340F7" w14:textId="24EBE8E7" w:rsidR="000C13D4" w:rsidRPr="0076238C" w:rsidRDefault="000C13D4" w:rsidP="00B6224B">
            <w:pPr>
              <w:pStyle w:val="ProductList-OfferingBody"/>
              <w:jc w:val="center"/>
            </w:pPr>
            <w:r>
              <w:t>&lt; 99,9 %</w:t>
            </w:r>
          </w:p>
        </w:tc>
        <w:tc>
          <w:tcPr>
            <w:tcW w:w="5400" w:type="dxa"/>
          </w:tcPr>
          <w:p w14:paraId="4940133B" w14:textId="581166C3" w:rsidR="000C13D4" w:rsidRPr="0076238C" w:rsidRDefault="000C13D4" w:rsidP="00B6224B">
            <w:pPr>
              <w:pStyle w:val="ProductList-OfferingBody"/>
              <w:jc w:val="center"/>
            </w:pPr>
            <w:r>
              <w:t>25</w:t>
            </w:r>
            <w:r w:rsidR="00B1668F">
              <w:t xml:space="preserve"> </w:t>
            </w:r>
            <w:r>
              <w:t>%</w:t>
            </w:r>
          </w:p>
        </w:tc>
      </w:tr>
      <w:tr w:rsidR="000C13D4" w:rsidRPr="002928A2" w14:paraId="521E17F9" w14:textId="77777777" w:rsidTr="00183F48">
        <w:tc>
          <w:tcPr>
            <w:tcW w:w="5400" w:type="dxa"/>
          </w:tcPr>
          <w:p w14:paraId="26F97999" w14:textId="0952B113" w:rsidR="000C13D4" w:rsidRPr="0076238C" w:rsidRDefault="000C13D4" w:rsidP="00B6224B">
            <w:pPr>
              <w:pStyle w:val="ProductList-OfferingBody"/>
              <w:jc w:val="center"/>
            </w:pPr>
            <w:r>
              <w:t>&lt; 99 %</w:t>
            </w:r>
          </w:p>
        </w:tc>
        <w:tc>
          <w:tcPr>
            <w:tcW w:w="5400" w:type="dxa"/>
          </w:tcPr>
          <w:p w14:paraId="4BBAA378" w14:textId="2EA02C25" w:rsidR="000C13D4" w:rsidRPr="0076238C" w:rsidRDefault="000C13D4" w:rsidP="00B6224B">
            <w:pPr>
              <w:pStyle w:val="ProductList-OfferingBody"/>
              <w:jc w:val="center"/>
            </w:pPr>
            <w:r>
              <w:t>50</w:t>
            </w:r>
            <w:r w:rsidR="00B1668F">
              <w:t xml:space="preserve"> </w:t>
            </w:r>
            <w:r>
              <w:t>%</w:t>
            </w:r>
          </w:p>
        </w:tc>
      </w:tr>
      <w:tr w:rsidR="000C13D4" w:rsidRPr="002928A2" w14:paraId="59DF70FE" w14:textId="77777777" w:rsidTr="00183F48">
        <w:tc>
          <w:tcPr>
            <w:tcW w:w="5400" w:type="dxa"/>
          </w:tcPr>
          <w:p w14:paraId="678A7C14" w14:textId="77777777" w:rsidR="000C13D4" w:rsidRPr="0076238C" w:rsidRDefault="000C13D4" w:rsidP="00B6224B">
            <w:pPr>
              <w:pStyle w:val="ProductList-OfferingBody"/>
              <w:jc w:val="center"/>
            </w:pPr>
            <w:r>
              <w:t>&lt; 95 %</w:t>
            </w:r>
          </w:p>
        </w:tc>
        <w:tc>
          <w:tcPr>
            <w:tcW w:w="5400" w:type="dxa"/>
          </w:tcPr>
          <w:p w14:paraId="46C6F630" w14:textId="51CA5118" w:rsidR="000C13D4" w:rsidRPr="0076238C" w:rsidRDefault="000C13D4" w:rsidP="00B6224B">
            <w:pPr>
              <w:pStyle w:val="ProductList-OfferingBody"/>
              <w:jc w:val="center"/>
            </w:pPr>
            <w:r>
              <w:t>100</w:t>
            </w:r>
            <w:r w:rsidR="00B1668F">
              <w:t xml:space="preserve"> </w:t>
            </w:r>
            <w:r>
              <w:t>%</w:t>
            </w:r>
          </w:p>
        </w:tc>
      </w:tr>
    </w:tbl>
    <w:p w14:paraId="42CE4F84" w14:textId="77777777" w:rsidR="009C340C" w:rsidRPr="00FB368F" w:rsidRDefault="00065349"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D4E9369" w14:textId="591EABAD" w:rsidR="000C13D4" w:rsidRPr="005A6CF1" w:rsidRDefault="000C13D4" w:rsidP="00B6224B">
      <w:pPr>
        <w:pStyle w:val="ProductList-Offering2Heading"/>
        <w:rPr>
          <w:lang w:val="en-US" w:eastAsia="en-US" w:bidi="ar-SA"/>
        </w:rPr>
      </w:pPr>
      <w:bookmarkStart w:id="75" w:name="_Toc65680411"/>
      <w:r w:rsidRPr="005A6CF1">
        <w:rPr>
          <w:lang w:val="en-US" w:eastAsia="en-US" w:bidi="ar-SA"/>
        </w:rPr>
        <w:t>Office 365 Video</w:t>
      </w:r>
      <w:bookmarkEnd w:id="75"/>
    </w:p>
    <w:p w14:paraId="3A79F112" w14:textId="185CC62A"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4732EE" w:rsidRDefault="000C13D4" w:rsidP="00B6224B">
      <w:pPr>
        <w:pStyle w:val="ProductList-Body"/>
        <w:rPr>
          <w:szCs w:val="18"/>
        </w:rPr>
      </w:pPr>
    </w:p>
    <w:p w14:paraId="7DAA761D" w14:textId="3A2AEB89"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823C6F" w14:textId="77777777" w:rsidR="000C13D4" w:rsidRPr="00A90E39" w:rsidRDefault="000C13D4" w:rsidP="00B6224B">
      <w:pPr>
        <w:pStyle w:val="ProductList-Body"/>
        <w:rPr>
          <w:szCs w:val="14"/>
        </w:rPr>
      </w:pPr>
    </w:p>
    <w:p w14:paraId="12553895" w14:textId="2DCC5214" w:rsidR="000C13D4" w:rsidRPr="002928A2" w:rsidRDefault="00065349"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4732EE" w:rsidRDefault="000C13D4" w:rsidP="00B6224B">
      <w:pPr>
        <w:pStyle w:val="ProductList-Body"/>
        <w:rPr>
          <w:szCs w:val="18"/>
        </w:rPr>
      </w:pPr>
    </w:p>
    <w:p w14:paraId="16D54A3F" w14:textId="3C25B807" w:rsidR="000C13D4" w:rsidRPr="00FB368F" w:rsidRDefault="000C13D4" w:rsidP="00B6224B">
      <w:pPr>
        <w:pStyle w:val="ProductList-Body"/>
      </w:pPr>
      <w:r>
        <w:rPr>
          <w:b/>
          <w:color w:val="00188F"/>
        </w:rPr>
        <w:t>Engagement de Niveau de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5BF1439" w14:textId="77777777" w:rsidTr="00183F48">
        <w:trPr>
          <w:tblHeader/>
        </w:trPr>
        <w:tc>
          <w:tcPr>
            <w:tcW w:w="5400" w:type="dxa"/>
            <w:shd w:val="clear" w:color="auto" w:fill="0072C6"/>
          </w:tcPr>
          <w:p w14:paraId="0F8E223D"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5535E60" w14:textId="77777777" w:rsidTr="00183F48">
        <w:tc>
          <w:tcPr>
            <w:tcW w:w="5400" w:type="dxa"/>
          </w:tcPr>
          <w:p w14:paraId="7E778ED8" w14:textId="31E565B6" w:rsidR="000C13D4" w:rsidRPr="0076238C" w:rsidRDefault="000C13D4" w:rsidP="00B6224B">
            <w:pPr>
              <w:pStyle w:val="ProductList-OfferingBody"/>
              <w:jc w:val="center"/>
            </w:pPr>
            <w:r>
              <w:t>&lt; 99,9 %</w:t>
            </w:r>
          </w:p>
        </w:tc>
        <w:tc>
          <w:tcPr>
            <w:tcW w:w="5400" w:type="dxa"/>
          </w:tcPr>
          <w:p w14:paraId="4BAFE0E4" w14:textId="60457278" w:rsidR="000C13D4" w:rsidRPr="0076238C" w:rsidRDefault="000C13D4" w:rsidP="00B6224B">
            <w:pPr>
              <w:pStyle w:val="ProductList-OfferingBody"/>
              <w:jc w:val="center"/>
            </w:pPr>
            <w:r>
              <w:t>25</w:t>
            </w:r>
            <w:r w:rsidR="00002894">
              <w:t xml:space="preserve"> </w:t>
            </w:r>
            <w:r>
              <w:t>%</w:t>
            </w:r>
          </w:p>
        </w:tc>
      </w:tr>
      <w:tr w:rsidR="000C13D4" w:rsidRPr="002928A2" w14:paraId="6F5A79E8" w14:textId="77777777" w:rsidTr="00183F48">
        <w:tc>
          <w:tcPr>
            <w:tcW w:w="5400" w:type="dxa"/>
          </w:tcPr>
          <w:p w14:paraId="5A5850A8" w14:textId="487BB396" w:rsidR="000C13D4" w:rsidRPr="0076238C" w:rsidRDefault="000C13D4" w:rsidP="00B6224B">
            <w:pPr>
              <w:pStyle w:val="ProductList-OfferingBody"/>
              <w:jc w:val="center"/>
            </w:pPr>
            <w:r>
              <w:t>&lt; 99 %</w:t>
            </w:r>
          </w:p>
        </w:tc>
        <w:tc>
          <w:tcPr>
            <w:tcW w:w="5400" w:type="dxa"/>
          </w:tcPr>
          <w:p w14:paraId="091B1753" w14:textId="63454DBE" w:rsidR="000C13D4" w:rsidRPr="0076238C" w:rsidRDefault="000C13D4" w:rsidP="00B6224B">
            <w:pPr>
              <w:pStyle w:val="ProductList-OfferingBody"/>
              <w:jc w:val="center"/>
            </w:pPr>
            <w:r>
              <w:t>50</w:t>
            </w:r>
            <w:r w:rsidR="00002894">
              <w:t xml:space="preserve"> </w:t>
            </w:r>
            <w:r>
              <w:t>%</w:t>
            </w:r>
          </w:p>
        </w:tc>
      </w:tr>
      <w:tr w:rsidR="000C13D4" w:rsidRPr="002928A2" w14:paraId="50CD9FEA" w14:textId="77777777" w:rsidTr="00183F48">
        <w:tc>
          <w:tcPr>
            <w:tcW w:w="5400" w:type="dxa"/>
          </w:tcPr>
          <w:p w14:paraId="7D03A04E" w14:textId="77777777" w:rsidR="000C13D4" w:rsidRPr="0076238C" w:rsidRDefault="000C13D4" w:rsidP="00B872D6">
            <w:pPr>
              <w:pStyle w:val="ProductList-OfferingBody"/>
              <w:jc w:val="center"/>
            </w:pPr>
            <w:r>
              <w:t>&lt; 95 %</w:t>
            </w:r>
          </w:p>
        </w:tc>
        <w:tc>
          <w:tcPr>
            <w:tcW w:w="5400" w:type="dxa"/>
          </w:tcPr>
          <w:p w14:paraId="0F29C740" w14:textId="74C45E4B" w:rsidR="000C13D4" w:rsidRPr="0076238C" w:rsidRDefault="000C13D4" w:rsidP="00B6224B">
            <w:pPr>
              <w:pStyle w:val="ProductList-OfferingBody"/>
              <w:keepNext/>
              <w:jc w:val="center"/>
            </w:pPr>
            <w:r>
              <w:t>100</w:t>
            </w:r>
            <w:r w:rsidR="00002894">
              <w:t xml:space="preserve"> </w:t>
            </w:r>
            <w:r>
              <w:t>%</w:t>
            </w:r>
          </w:p>
        </w:tc>
      </w:tr>
    </w:tbl>
    <w:p w14:paraId="7FCD6041" w14:textId="77777777" w:rsidR="009C340C" w:rsidRPr="00FB368F" w:rsidRDefault="00065349"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FA062E2" w14:textId="2C218826" w:rsidR="000C13D4" w:rsidRPr="005A6CF1" w:rsidRDefault="000C13D4" w:rsidP="004732EE">
      <w:pPr>
        <w:pStyle w:val="ProductList-Offering2Heading"/>
        <w:keepNext/>
        <w:rPr>
          <w:lang w:val="en-US" w:eastAsia="en-US" w:bidi="ar-SA"/>
        </w:rPr>
      </w:pPr>
      <w:bookmarkStart w:id="76" w:name="_Toc65680412"/>
      <w:r w:rsidRPr="005A6CF1">
        <w:rPr>
          <w:lang w:val="en-US" w:eastAsia="en-US" w:bidi="ar-SA"/>
        </w:rPr>
        <w:lastRenderedPageBreak/>
        <w:t xml:space="preserve">OneDrive </w:t>
      </w:r>
      <w:proofErr w:type="spellStart"/>
      <w:r w:rsidRPr="005A6CF1">
        <w:rPr>
          <w:lang w:val="en-US" w:eastAsia="en-US" w:bidi="ar-SA"/>
        </w:rPr>
        <w:t>Entreprise</w:t>
      </w:r>
      <w:bookmarkEnd w:id="76"/>
      <w:proofErr w:type="spellEnd"/>
    </w:p>
    <w:p w14:paraId="46FE7562" w14:textId="0E11C248"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4732EE" w:rsidRDefault="000C13D4" w:rsidP="00B6224B">
      <w:pPr>
        <w:pStyle w:val="ProductList-Body"/>
        <w:rPr>
          <w:szCs w:val="18"/>
        </w:rPr>
      </w:pPr>
    </w:p>
    <w:p w14:paraId="6DEA7661" w14:textId="5A57008C"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6CC4D37" w14:textId="77777777" w:rsidR="000C13D4" w:rsidRPr="00A90E39" w:rsidRDefault="000C13D4" w:rsidP="00B6224B">
      <w:pPr>
        <w:pStyle w:val="ProductList-Body"/>
        <w:rPr>
          <w:szCs w:val="14"/>
        </w:rPr>
      </w:pPr>
    </w:p>
    <w:p w14:paraId="76BB190F" w14:textId="652D5604" w:rsidR="000C13D4" w:rsidRPr="002928A2" w:rsidRDefault="00065349"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4732EE" w:rsidRDefault="000C13D4" w:rsidP="00B6224B">
      <w:pPr>
        <w:pStyle w:val="ProductList-Body"/>
        <w:rPr>
          <w:szCs w:val="18"/>
        </w:rPr>
      </w:pPr>
    </w:p>
    <w:p w14:paraId="6CD91602" w14:textId="4655E9E5" w:rsidR="000C13D4" w:rsidRPr="00FB368F" w:rsidRDefault="000C13D4" w:rsidP="004732E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7837DA2D" w14:textId="77777777" w:rsidTr="00183F48">
        <w:trPr>
          <w:tblHeader/>
        </w:trPr>
        <w:tc>
          <w:tcPr>
            <w:tcW w:w="5400" w:type="dxa"/>
            <w:shd w:val="clear" w:color="auto" w:fill="0072C6"/>
          </w:tcPr>
          <w:p w14:paraId="5F2E29BC"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0D0F33A9" w14:textId="77777777" w:rsidTr="00183F48">
        <w:tc>
          <w:tcPr>
            <w:tcW w:w="5400" w:type="dxa"/>
          </w:tcPr>
          <w:p w14:paraId="11B9D86D" w14:textId="4CA54B5F" w:rsidR="000C13D4" w:rsidRPr="0076238C" w:rsidRDefault="000C13D4" w:rsidP="00B6224B">
            <w:pPr>
              <w:pStyle w:val="ProductList-OfferingBody"/>
              <w:jc w:val="center"/>
            </w:pPr>
            <w:r>
              <w:t>&lt; 99,9 %</w:t>
            </w:r>
          </w:p>
        </w:tc>
        <w:tc>
          <w:tcPr>
            <w:tcW w:w="5400" w:type="dxa"/>
          </w:tcPr>
          <w:p w14:paraId="21B08C9D" w14:textId="4B955810" w:rsidR="000C13D4" w:rsidRPr="0076238C" w:rsidRDefault="000C13D4" w:rsidP="00B6224B">
            <w:pPr>
              <w:pStyle w:val="ProductList-OfferingBody"/>
              <w:jc w:val="center"/>
            </w:pPr>
            <w:r>
              <w:t>25</w:t>
            </w:r>
            <w:r w:rsidR="00DE7BE8">
              <w:t xml:space="preserve"> </w:t>
            </w:r>
            <w:r>
              <w:t>%</w:t>
            </w:r>
          </w:p>
        </w:tc>
      </w:tr>
      <w:tr w:rsidR="000C13D4" w:rsidRPr="002928A2" w14:paraId="15FDE30A" w14:textId="77777777" w:rsidTr="00183F48">
        <w:tc>
          <w:tcPr>
            <w:tcW w:w="5400" w:type="dxa"/>
          </w:tcPr>
          <w:p w14:paraId="1B3D9EF5" w14:textId="7C495918" w:rsidR="000C13D4" w:rsidRPr="0076238C" w:rsidRDefault="000C13D4" w:rsidP="00B6224B">
            <w:pPr>
              <w:pStyle w:val="ProductList-OfferingBody"/>
              <w:jc w:val="center"/>
            </w:pPr>
            <w:r>
              <w:t>&lt; 99 %</w:t>
            </w:r>
          </w:p>
        </w:tc>
        <w:tc>
          <w:tcPr>
            <w:tcW w:w="5400" w:type="dxa"/>
          </w:tcPr>
          <w:p w14:paraId="2607D833" w14:textId="3B6029B7" w:rsidR="000C13D4" w:rsidRPr="0076238C" w:rsidRDefault="000C13D4" w:rsidP="00B6224B">
            <w:pPr>
              <w:pStyle w:val="ProductList-OfferingBody"/>
              <w:jc w:val="center"/>
            </w:pPr>
            <w:r>
              <w:t>50</w:t>
            </w:r>
            <w:r w:rsidR="00DE7BE8">
              <w:t xml:space="preserve"> </w:t>
            </w:r>
            <w:r>
              <w:t>%</w:t>
            </w:r>
          </w:p>
        </w:tc>
      </w:tr>
      <w:tr w:rsidR="000C13D4" w:rsidRPr="002928A2" w14:paraId="512DA71F" w14:textId="77777777" w:rsidTr="00183F48">
        <w:tc>
          <w:tcPr>
            <w:tcW w:w="5400" w:type="dxa"/>
          </w:tcPr>
          <w:p w14:paraId="47FBA730" w14:textId="77777777" w:rsidR="000C13D4" w:rsidRPr="0076238C" w:rsidRDefault="000C13D4" w:rsidP="00B6224B">
            <w:pPr>
              <w:pStyle w:val="ProductList-OfferingBody"/>
              <w:jc w:val="center"/>
            </w:pPr>
            <w:r>
              <w:t>&lt; 95 %</w:t>
            </w:r>
          </w:p>
        </w:tc>
        <w:tc>
          <w:tcPr>
            <w:tcW w:w="5400" w:type="dxa"/>
          </w:tcPr>
          <w:p w14:paraId="1C49AAE4" w14:textId="732D2B64" w:rsidR="000C13D4" w:rsidRPr="0076238C" w:rsidRDefault="000C13D4" w:rsidP="00B6224B">
            <w:pPr>
              <w:pStyle w:val="ProductList-OfferingBody"/>
              <w:jc w:val="center"/>
            </w:pPr>
            <w:r>
              <w:t>100</w:t>
            </w:r>
            <w:r w:rsidR="00DE7BE8">
              <w:t xml:space="preserve"> </w:t>
            </w:r>
            <w:r>
              <w:t>%</w:t>
            </w:r>
          </w:p>
        </w:tc>
      </w:tr>
    </w:tbl>
    <w:p w14:paraId="04F28DA3" w14:textId="77777777" w:rsidR="009C340C" w:rsidRPr="00FB368F" w:rsidRDefault="00065349"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5750250" w14:textId="6505D39B" w:rsidR="00C86427" w:rsidRPr="002D3FF9" w:rsidRDefault="00C86427" w:rsidP="00B6224B">
      <w:pPr>
        <w:pStyle w:val="ProductList-Offering2Heading"/>
        <w:rPr>
          <w:lang w:eastAsia="en-US" w:bidi="ar-SA"/>
        </w:rPr>
      </w:pPr>
      <w:bookmarkStart w:id="77" w:name="_Toc65680413"/>
      <w:r w:rsidRPr="002D3FF9">
        <w:rPr>
          <w:lang w:eastAsia="en-US" w:bidi="ar-SA"/>
        </w:rPr>
        <w:t>Project</w:t>
      </w:r>
      <w:bookmarkEnd w:id="77"/>
    </w:p>
    <w:p w14:paraId="14E68B6F" w14:textId="68FAC4DD"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B6224B">
      <w:pPr>
        <w:pStyle w:val="ProductList-Body"/>
      </w:pPr>
    </w:p>
    <w:p w14:paraId="251BAB3A" w14:textId="775F47D8"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184A950" w14:textId="77777777" w:rsidR="00C86427" w:rsidRPr="00FB368F" w:rsidRDefault="00C86427" w:rsidP="00B6224B">
      <w:pPr>
        <w:pStyle w:val="ProductList-Body"/>
      </w:pPr>
    </w:p>
    <w:p w14:paraId="4960225A" w14:textId="4DA3747B" w:rsidR="00C86427" w:rsidRPr="002928A2" w:rsidRDefault="00065349"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B6224B">
      <w:pPr>
        <w:pStyle w:val="ProductList-Body"/>
      </w:pPr>
    </w:p>
    <w:p w14:paraId="429909F8" w14:textId="282E0340" w:rsidR="00C86427" w:rsidRPr="00FB368F" w:rsidRDefault="00C86427" w:rsidP="00821000">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47439D22" w14:textId="77777777" w:rsidTr="00183F48">
        <w:trPr>
          <w:tblHeader/>
        </w:trPr>
        <w:tc>
          <w:tcPr>
            <w:tcW w:w="5400" w:type="dxa"/>
            <w:shd w:val="clear" w:color="auto" w:fill="0072C6"/>
          </w:tcPr>
          <w:p w14:paraId="0420467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51125E5A" w14:textId="77777777" w:rsidTr="00183F48">
        <w:tc>
          <w:tcPr>
            <w:tcW w:w="5400" w:type="dxa"/>
          </w:tcPr>
          <w:p w14:paraId="07F00995" w14:textId="576DCEAF" w:rsidR="00C86427" w:rsidRPr="0076238C" w:rsidRDefault="00C86427" w:rsidP="00B6224B">
            <w:pPr>
              <w:pStyle w:val="ProductList-OfferingBody"/>
              <w:jc w:val="center"/>
            </w:pPr>
            <w:r>
              <w:t>&lt; 99,9 %</w:t>
            </w:r>
          </w:p>
        </w:tc>
        <w:tc>
          <w:tcPr>
            <w:tcW w:w="5400" w:type="dxa"/>
          </w:tcPr>
          <w:p w14:paraId="1EAC3FA5" w14:textId="5A049691" w:rsidR="00C86427" w:rsidRPr="0076238C" w:rsidRDefault="00C86427" w:rsidP="00B6224B">
            <w:pPr>
              <w:pStyle w:val="ProductList-OfferingBody"/>
              <w:jc w:val="center"/>
            </w:pPr>
            <w:r>
              <w:t>25</w:t>
            </w:r>
            <w:r w:rsidR="00C63D38">
              <w:t xml:space="preserve"> </w:t>
            </w:r>
            <w:r>
              <w:t>%</w:t>
            </w:r>
          </w:p>
        </w:tc>
      </w:tr>
      <w:tr w:rsidR="00C86427" w:rsidRPr="002928A2" w14:paraId="6BFFAB67" w14:textId="77777777" w:rsidTr="00183F48">
        <w:tc>
          <w:tcPr>
            <w:tcW w:w="5400" w:type="dxa"/>
          </w:tcPr>
          <w:p w14:paraId="48BA927D" w14:textId="2A9F073D" w:rsidR="00C86427" w:rsidRPr="0076238C" w:rsidRDefault="00C86427" w:rsidP="00B6224B">
            <w:pPr>
              <w:pStyle w:val="ProductList-OfferingBody"/>
              <w:jc w:val="center"/>
            </w:pPr>
            <w:r>
              <w:t>&lt; 99 %</w:t>
            </w:r>
          </w:p>
        </w:tc>
        <w:tc>
          <w:tcPr>
            <w:tcW w:w="5400" w:type="dxa"/>
          </w:tcPr>
          <w:p w14:paraId="38929F8D" w14:textId="7D11277E" w:rsidR="00C86427" w:rsidRPr="0076238C" w:rsidRDefault="00C86427" w:rsidP="00B6224B">
            <w:pPr>
              <w:pStyle w:val="ProductList-OfferingBody"/>
              <w:jc w:val="center"/>
            </w:pPr>
            <w:r>
              <w:t>50</w:t>
            </w:r>
            <w:r w:rsidR="00C63D38">
              <w:t xml:space="preserve"> </w:t>
            </w:r>
            <w:r>
              <w:t>%</w:t>
            </w:r>
          </w:p>
        </w:tc>
      </w:tr>
      <w:tr w:rsidR="00C86427" w:rsidRPr="002928A2" w14:paraId="70A14F4B" w14:textId="77777777" w:rsidTr="00183F48">
        <w:tc>
          <w:tcPr>
            <w:tcW w:w="5400" w:type="dxa"/>
          </w:tcPr>
          <w:p w14:paraId="4A5F7DB0" w14:textId="77777777" w:rsidR="00C86427" w:rsidRPr="0076238C" w:rsidRDefault="00C86427" w:rsidP="00B6224B">
            <w:pPr>
              <w:pStyle w:val="ProductList-OfferingBody"/>
              <w:jc w:val="center"/>
            </w:pPr>
            <w:r>
              <w:t>&lt; 95 %</w:t>
            </w:r>
          </w:p>
        </w:tc>
        <w:tc>
          <w:tcPr>
            <w:tcW w:w="5400" w:type="dxa"/>
          </w:tcPr>
          <w:p w14:paraId="4C6598BC" w14:textId="1624FF6B" w:rsidR="00C86427" w:rsidRPr="0076238C" w:rsidRDefault="00C86427" w:rsidP="00B6224B">
            <w:pPr>
              <w:pStyle w:val="ProductList-OfferingBody"/>
              <w:jc w:val="center"/>
            </w:pPr>
            <w:r>
              <w:t>100</w:t>
            </w:r>
            <w:r w:rsidR="00C63D38">
              <w:t xml:space="preserve"> </w:t>
            </w:r>
            <w:r>
              <w:t>%</w:t>
            </w:r>
          </w:p>
        </w:tc>
      </w:tr>
    </w:tbl>
    <w:p w14:paraId="6830489B" w14:textId="77777777" w:rsidR="009C340C" w:rsidRPr="00FB368F" w:rsidRDefault="00065349"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51EC5D" w14:textId="20237168" w:rsidR="00C86427" w:rsidRPr="005A6CF1" w:rsidRDefault="00C86427" w:rsidP="00B6224B">
      <w:pPr>
        <w:pStyle w:val="ProductList-Offering2Heading"/>
        <w:rPr>
          <w:lang w:val="en-US" w:eastAsia="en-US" w:bidi="ar-SA"/>
        </w:rPr>
      </w:pPr>
      <w:bookmarkStart w:id="78" w:name="_Toc65680414"/>
      <w:r w:rsidRPr="005A6CF1">
        <w:rPr>
          <w:lang w:val="en-US" w:eastAsia="en-US" w:bidi="ar-SA"/>
        </w:rPr>
        <w:t>SharePoint Online</w:t>
      </w:r>
      <w:bookmarkEnd w:id="78"/>
    </w:p>
    <w:p w14:paraId="41E58B9E" w14:textId="083F7B5B"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B6224B">
      <w:pPr>
        <w:pStyle w:val="ProductList-Body"/>
      </w:pPr>
    </w:p>
    <w:p w14:paraId="4F12AEC0" w14:textId="066C020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C6E7F3" w14:textId="77777777" w:rsidR="00C86427" w:rsidRPr="00FB368F" w:rsidRDefault="00C86427" w:rsidP="00B6224B">
      <w:pPr>
        <w:pStyle w:val="ProductList-Body"/>
      </w:pPr>
    </w:p>
    <w:p w14:paraId="5BBD13D7" w14:textId="7B1C8D96" w:rsidR="00C86427" w:rsidRPr="002928A2" w:rsidRDefault="00065349"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B6224B">
      <w:pPr>
        <w:pStyle w:val="ProductList-Body"/>
      </w:pPr>
    </w:p>
    <w:p w14:paraId="7AE68D73" w14:textId="3B84A5BF"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2A3F63FE" w14:textId="77777777" w:rsidTr="00183F48">
        <w:trPr>
          <w:tblHeader/>
        </w:trPr>
        <w:tc>
          <w:tcPr>
            <w:tcW w:w="5400" w:type="dxa"/>
            <w:shd w:val="clear" w:color="auto" w:fill="0072C6"/>
          </w:tcPr>
          <w:p w14:paraId="79CD7DD1"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292393E9" w14:textId="77777777" w:rsidTr="00183F48">
        <w:tc>
          <w:tcPr>
            <w:tcW w:w="5400" w:type="dxa"/>
          </w:tcPr>
          <w:p w14:paraId="5CEBDE30" w14:textId="512D833F" w:rsidR="00C86427" w:rsidRPr="0076238C" w:rsidRDefault="00C86427" w:rsidP="00B6224B">
            <w:pPr>
              <w:pStyle w:val="ProductList-OfferingBody"/>
              <w:jc w:val="center"/>
            </w:pPr>
            <w:r>
              <w:t>&lt; 99,9 %</w:t>
            </w:r>
          </w:p>
        </w:tc>
        <w:tc>
          <w:tcPr>
            <w:tcW w:w="5400" w:type="dxa"/>
          </w:tcPr>
          <w:p w14:paraId="5FB7CC40" w14:textId="1360BDA4" w:rsidR="00C86427" w:rsidRPr="0076238C" w:rsidRDefault="00C86427" w:rsidP="00B6224B">
            <w:pPr>
              <w:pStyle w:val="ProductList-OfferingBody"/>
              <w:jc w:val="center"/>
            </w:pPr>
            <w:r>
              <w:t>25</w:t>
            </w:r>
            <w:r w:rsidR="00115FDB">
              <w:t xml:space="preserve"> </w:t>
            </w:r>
            <w:r>
              <w:t>%</w:t>
            </w:r>
          </w:p>
        </w:tc>
      </w:tr>
      <w:tr w:rsidR="00C86427" w:rsidRPr="002928A2" w14:paraId="742E7780" w14:textId="77777777" w:rsidTr="00183F48">
        <w:tc>
          <w:tcPr>
            <w:tcW w:w="5400" w:type="dxa"/>
          </w:tcPr>
          <w:p w14:paraId="54EE1142" w14:textId="5A10F402" w:rsidR="00C86427" w:rsidRPr="0076238C" w:rsidRDefault="00C86427" w:rsidP="00B6224B">
            <w:pPr>
              <w:pStyle w:val="ProductList-OfferingBody"/>
              <w:jc w:val="center"/>
            </w:pPr>
            <w:r>
              <w:t>&lt; 99 %</w:t>
            </w:r>
          </w:p>
        </w:tc>
        <w:tc>
          <w:tcPr>
            <w:tcW w:w="5400" w:type="dxa"/>
          </w:tcPr>
          <w:p w14:paraId="4C18F2FB" w14:textId="0157FF0B" w:rsidR="00C86427" w:rsidRPr="0076238C" w:rsidRDefault="00C86427" w:rsidP="00B6224B">
            <w:pPr>
              <w:pStyle w:val="ProductList-OfferingBody"/>
              <w:jc w:val="center"/>
            </w:pPr>
            <w:r>
              <w:t>50</w:t>
            </w:r>
            <w:r w:rsidR="00115FDB">
              <w:t xml:space="preserve"> </w:t>
            </w:r>
            <w:r>
              <w:t>%</w:t>
            </w:r>
          </w:p>
        </w:tc>
      </w:tr>
      <w:tr w:rsidR="00C86427" w:rsidRPr="002928A2" w14:paraId="74478D49" w14:textId="77777777" w:rsidTr="00183F48">
        <w:tc>
          <w:tcPr>
            <w:tcW w:w="5400" w:type="dxa"/>
          </w:tcPr>
          <w:p w14:paraId="35AB4E0E" w14:textId="77777777" w:rsidR="00C86427" w:rsidRPr="0076238C" w:rsidRDefault="00C86427" w:rsidP="00B6224B">
            <w:pPr>
              <w:pStyle w:val="ProductList-OfferingBody"/>
              <w:jc w:val="center"/>
            </w:pPr>
            <w:r>
              <w:lastRenderedPageBreak/>
              <w:t>&lt; 95 %</w:t>
            </w:r>
          </w:p>
        </w:tc>
        <w:tc>
          <w:tcPr>
            <w:tcW w:w="5400" w:type="dxa"/>
          </w:tcPr>
          <w:p w14:paraId="07DE3FF0" w14:textId="27E000E5" w:rsidR="00C86427" w:rsidRPr="0076238C" w:rsidRDefault="00C86427" w:rsidP="00B6224B">
            <w:pPr>
              <w:pStyle w:val="ProductList-OfferingBody"/>
              <w:jc w:val="center"/>
            </w:pPr>
            <w:r>
              <w:t>100</w:t>
            </w:r>
            <w:r w:rsidR="00115FDB">
              <w:t xml:space="preserve"> </w:t>
            </w:r>
            <w:r>
              <w:t>%</w:t>
            </w:r>
          </w:p>
        </w:tc>
      </w:tr>
    </w:tbl>
    <w:p w14:paraId="1F5E4A76" w14:textId="77777777" w:rsidR="009C340C" w:rsidRPr="00FB368F" w:rsidRDefault="00065349"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82865B7" w14:textId="0CEF977F" w:rsidR="00C86427" w:rsidRPr="002D3FF9" w:rsidRDefault="00C86427" w:rsidP="00B6224B">
      <w:pPr>
        <w:pStyle w:val="ProductList-Offering2Heading"/>
        <w:rPr>
          <w:lang w:eastAsia="en-US" w:bidi="ar-SA"/>
        </w:rPr>
      </w:pPr>
      <w:bookmarkStart w:id="79" w:name="_Toc65680415"/>
      <w:r w:rsidRPr="002D3FF9">
        <w:rPr>
          <w:lang w:eastAsia="en-US" w:bidi="ar-SA"/>
        </w:rPr>
        <w:t>Skype Entreprise Online</w:t>
      </w:r>
      <w:bookmarkEnd w:id="79"/>
    </w:p>
    <w:p w14:paraId="40D3082E" w14:textId="6AD76833" w:rsidR="00C86427" w:rsidRPr="00FB368F" w:rsidRDefault="00C86427" w:rsidP="00B6224B">
      <w:pPr>
        <w:pStyle w:val="ProductList-Body"/>
      </w:pPr>
      <w:r>
        <w:rPr>
          <w:b/>
          <w:color w:val="00188F"/>
        </w:rPr>
        <w:t>Temps d’Indisponibilité</w:t>
      </w:r>
      <w:r>
        <w:t> </w:t>
      </w:r>
      <w:r w:rsidRPr="006E70DE">
        <w:t>:</w:t>
      </w:r>
      <w:r>
        <w:t xml:space="preserve"> </w:t>
      </w:r>
      <w:r>
        <w:rPr>
          <w:szCs w:val="18"/>
        </w:rPr>
        <w:t xml:space="preserve">toute période au cours de laquelle les utilisateurs finaux sont dans l’impossibilité d’afficher l’état de présence, d’avoir des conversations de messagerie instantanée ou d’initier des réunions en </w:t>
      </w:r>
      <w:proofErr w:type="spellStart"/>
      <w:r>
        <w:rPr>
          <w:szCs w:val="18"/>
        </w:rPr>
        <w:t>ligne.</w:t>
      </w:r>
      <w:r>
        <w:rPr>
          <w:szCs w:val="16"/>
          <w:vertAlign w:val="superscript"/>
        </w:rPr>
        <w:t>1</w:t>
      </w:r>
      <w:proofErr w:type="spellEnd"/>
    </w:p>
    <w:p w14:paraId="7AED995C" w14:textId="77777777" w:rsidR="00C86427" w:rsidRPr="00FB368F" w:rsidRDefault="00C86427" w:rsidP="00B6224B">
      <w:pPr>
        <w:pStyle w:val="ProductList-Body"/>
      </w:pPr>
    </w:p>
    <w:p w14:paraId="082157A9" w14:textId="64C5683B"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22C9DFA" w14:textId="77777777" w:rsidR="00C86427" w:rsidRPr="00FB368F" w:rsidRDefault="00C86427" w:rsidP="00B6224B">
      <w:pPr>
        <w:pStyle w:val="ProductList-Body"/>
      </w:pPr>
    </w:p>
    <w:p w14:paraId="04B5406A" w14:textId="11D565C9" w:rsidR="00C86427" w:rsidRPr="002928A2" w:rsidRDefault="00065349"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B6224B">
      <w:pPr>
        <w:pStyle w:val="ProductList-Body"/>
      </w:pPr>
    </w:p>
    <w:p w14:paraId="1A0B8BDB" w14:textId="157F10FB"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323C86C4" w14:textId="77777777" w:rsidTr="00183F48">
        <w:trPr>
          <w:tblHeader/>
        </w:trPr>
        <w:tc>
          <w:tcPr>
            <w:tcW w:w="5400" w:type="dxa"/>
            <w:shd w:val="clear" w:color="auto" w:fill="0072C6"/>
          </w:tcPr>
          <w:p w14:paraId="480118B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48E7D968" w14:textId="77777777" w:rsidTr="00183F48">
        <w:tc>
          <w:tcPr>
            <w:tcW w:w="5400" w:type="dxa"/>
          </w:tcPr>
          <w:p w14:paraId="570ACFD0" w14:textId="31FB822F" w:rsidR="00C86427" w:rsidRPr="0076238C" w:rsidRDefault="00C86427" w:rsidP="00B6224B">
            <w:pPr>
              <w:pStyle w:val="ProductList-OfferingBody"/>
              <w:jc w:val="center"/>
            </w:pPr>
            <w:r>
              <w:t>&lt; 99,9 %</w:t>
            </w:r>
          </w:p>
        </w:tc>
        <w:tc>
          <w:tcPr>
            <w:tcW w:w="5400" w:type="dxa"/>
          </w:tcPr>
          <w:p w14:paraId="54D34AC2" w14:textId="6E5326BD" w:rsidR="00C86427" w:rsidRPr="0076238C" w:rsidRDefault="00C86427" w:rsidP="00B6224B">
            <w:pPr>
              <w:pStyle w:val="ProductList-OfferingBody"/>
              <w:jc w:val="center"/>
            </w:pPr>
            <w:r>
              <w:t>25</w:t>
            </w:r>
            <w:r w:rsidR="00F3034E">
              <w:t xml:space="preserve"> </w:t>
            </w:r>
            <w:r>
              <w:t>%</w:t>
            </w:r>
          </w:p>
        </w:tc>
      </w:tr>
      <w:tr w:rsidR="00C86427" w:rsidRPr="002928A2" w14:paraId="1CC4E932" w14:textId="77777777" w:rsidTr="00183F48">
        <w:tc>
          <w:tcPr>
            <w:tcW w:w="5400" w:type="dxa"/>
          </w:tcPr>
          <w:p w14:paraId="018C37F6" w14:textId="18BE2210" w:rsidR="00C86427" w:rsidRPr="0076238C" w:rsidRDefault="00C86427" w:rsidP="00B6224B">
            <w:pPr>
              <w:pStyle w:val="ProductList-OfferingBody"/>
              <w:jc w:val="center"/>
            </w:pPr>
            <w:r>
              <w:t>&lt; 99 %</w:t>
            </w:r>
          </w:p>
        </w:tc>
        <w:tc>
          <w:tcPr>
            <w:tcW w:w="5400" w:type="dxa"/>
          </w:tcPr>
          <w:p w14:paraId="7B4B8F49" w14:textId="070215C7" w:rsidR="00C86427" w:rsidRPr="0076238C" w:rsidRDefault="00C86427" w:rsidP="00B6224B">
            <w:pPr>
              <w:pStyle w:val="ProductList-OfferingBody"/>
              <w:jc w:val="center"/>
            </w:pPr>
            <w:r>
              <w:t>50</w:t>
            </w:r>
            <w:r w:rsidR="00F3034E">
              <w:t xml:space="preserve"> </w:t>
            </w:r>
            <w:r>
              <w:t>%</w:t>
            </w:r>
          </w:p>
        </w:tc>
      </w:tr>
      <w:tr w:rsidR="00C86427" w:rsidRPr="002928A2" w14:paraId="5C87C82D" w14:textId="77777777" w:rsidTr="00183F48">
        <w:tc>
          <w:tcPr>
            <w:tcW w:w="5400" w:type="dxa"/>
          </w:tcPr>
          <w:p w14:paraId="4932E3FA" w14:textId="77777777" w:rsidR="00C86427" w:rsidRPr="0076238C" w:rsidRDefault="00C86427" w:rsidP="00B6224B">
            <w:pPr>
              <w:pStyle w:val="ProductList-OfferingBody"/>
              <w:jc w:val="center"/>
            </w:pPr>
            <w:r>
              <w:t>&lt; 95 %</w:t>
            </w:r>
          </w:p>
        </w:tc>
        <w:tc>
          <w:tcPr>
            <w:tcW w:w="5400" w:type="dxa"/>
          </w:tcPr>
          <w:p w14:paraId="4060CC3B" w14:textId="760A3A19" w:rsidR="00C86427" w:rsidRPr="0076238C" w:rsidRDefault="00C86427" w:rsidP="00B6224B">
            <w:pPr>
              <w:pStyle w:val="ProductList-OfferingBody"/>
              <w:jc w:val="center"/>
            </w:pPr>
            <w:r>
              <w:t>100</w:t>
            </w:r>
            <w:r w:rsidR="00F3034E">
              <w:t xml:space="preserve"> </w:t>
            </w:r>
            <w:r>
              <w:t>%</w:t>
            </w:r>
          </w:p>
        </w:tc>
      </w:tr>
    </w:tbl>
    <w:p w14:paraId="1754AB40" w14:textId="65AF8711" w:rsidR="00A0350E" w:rsidRPr="00FB368F" w:rsidRDefault="00A0350E" w:rsidP="00B6224B">
      <w:pPr>
        <w:pStyle w:val="ProductList-Body"/>
      </w:pPr>
      <w:proofErr w:type="spellStart"/>
      <w:r>
        <w:rPr>
          <w:szCs w:val="16"/>
          <w:vertAlign w:val="superscript"/>
        </w:rPr>
        <w:t>1</w:t>
      </w:r>
      <w:r>
        <w:rPr>
          <w:sz w:val="16"/>
          <w:szCs w:val="16"/>
        </w:rPr>
        <w:t>La</w:t>
      </w:r>
      <w:proofErr w:type="spellEnd"/>
      <w:r>
        <w:rPr>
          <w:sz w:val="16"/>
          <w:szCs w:val="16"/>
        </w:rPr>
        <w:t xml:space="preserve"> fonctionnalité de réunion en ligne s’applique uniquement au Service Skype Entreprise Online Plan 2.</w:t>
      </w:r>
    </w:p>
    <w:bookmarkStart w:id="80" w:name="_Toc457821525"/>
    <w:bookmarkStart w:id="81" w:name="_Toc526859637"/>
    <w:bookmarkStart w:id="82" w:name="_Toc525207109"/>
    <w:p w14:paraId="7F5B56C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89502B1" w14:textId="32CF85A8" w:rsidR="00A40F90" w:rsidRPr="002B713E" w:rsidRDefault="009C340C" w:rsidP="00B6224B">
      <w:pPr>
        <w:pStyle w:val="ProductList-Offering2Heading"/>
        <w:outlineLvl w:val="2"/>
      </w:pPr>
      <w:bookmarkStart w:id="83" w:name="_Toc65680416"/>
      <w:r>
        <w:t>Microsoft Teams</w:t>
      </w:r>
      <w:r w:rsidR="00A40F90">
        <w:t xml:space="preserve"> – Forfaits d'Appels et Audioconférence</w:t>
      </w:r>
      <w:bookmarkEnd w:id="80"/>
      <w:bookmarkEnd w:id="81"/>
      <w:bookmarkEnd w:id="82"/>
      <w:bookmarkEnd w:id="83"/>
    </w:p>
    <w:p w14:paraId="079547ED" w14:textId="77777777" w:rsidR="00A40F90" w:rsidRPr="002928A2" w:rsidRDefault="00A40F90" w:rsidP="00B6224B">
      <w:pPr>
        <w:spacing w:after="0" w:line="240" w:lineRule="auto"/>
        <w:rPr>
          <w:sz w:val="18"/>
          <w:szCs w:val="18"/>
        </w:rPr>
      </w:pPr>
      <w:r>
        <w:rPr>
          <w:rFonts w:ascii="Calibri" w:eastAsia="Calibri" w:hAnsi="Calibri" w:cs="Times New Roman"/>
          <w:b/>
          <w:color w:val="00188F"/>
          <w:sz w:val="18"/>
        </w:rPr>
        <w:t>Temps d’Indisponibilité</w:t>
      </w:r>
      <w:r>
        <w:rPr>
          <w:rFonts w:ascii="Calibri" w:eastAsia="Calibri" w:hAnsi="Calibri" w:cs="Times New Roman"/>
          <w:sz w:val="18"/>
        </w:rPr>
        <w:t> </w:t>
      </w:r>
      <w:r w:rsidRPr="001C0AF8">
        <w:rPr>
          <w:rFonts w:ascii="Calibri" w:eastAsia="Calibri" w:hAnsi="Calibri" w:cs="Times New Roman"/>
          <w:b/>
          <w:sz w:val="18"/>
        </w:rPr>
        <w:t>:</w:t>
      </w:r>
      <w:r>
        <w:rPr>
          <w:rFonts w:ascii="Calibri" w:eastAsia="Calibri" w:hAnsi="Calibri" w:cs="Times New Roman"/>
          <w:sz w:val="18"/>
          <w:szCs w:val="18"/>
        </w:rPr>
        <w:t xml:space="preserve"> Toute période au cours de laquelle les utilisateurs finaux ne peuvent pas lancer un appel PSTN ou participer à une audioconférence PSTN.</w:t>
      </w:r>
    </w:p>
    <w:p w14:paraId="1CB86BBB" w14:textId="77777777" w:rsidR="00887EAE" w:rsidRPr="00EB57B5" w:rsidRDefault="00887EAE" w:rsidP="00B6224B">
      <w:pPr>
        <w:spacing w:after="0" w:line="240" w:lineRule="auto"/>
        <w:rPr>
          <w:sz w:val="18"/>
          <w:szCs w:val="18"/>
        </w:rPr>
      </w:pPr>
    </w:p>
    <w:p w14:paraId="6A0993FC" w14:textId="77777777" w:rsidR="00887EAE" w:rsidRPr="00EB57B5" w:rsidRDefault="00887EAE" w:rsidP="00B6224B">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r w:rsidRPr="006E70DE">
        <w:rPr>
          <w:rFonts w:ascii="Calibri" w:eastAsia="Calibri" w:hAnsi="Calibri" w:cs="Times New Roman"/>
          <w:sz w:val="18"/>
          <w:szCs w:val="18"/>
        </w:rPr>
        <w:t>:</w:t>
      </w:r>
    </w:p>
    <w:p w14:paraId="0C7F2D73" w14:textId="77777777" w:rsidR="00887EAE" w:rsidRPr="00EB57B5" w:rsidRDefault="00887EAE" w:rsidP="00B6224B">
      <w:pPr>
        <w:spacing w:after="0" w:line="240" w:lineRule="auto"/>
        <w:rPr>
          <w:sz w:val="18"/>
          <w:szCs w:val="18"/>
        </w:rPr>
      </w:pPr>
    </w:p>
    <w:p w14:paraId="05FF54C5" w14:textId="77777777" w:rsidR="00887EAE" w:rsidRPr="00EB57B5" w:rsidRDefault="00065349" w:rsidP="00B6224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B6224B">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B6224B">
      <w:pPr>
        <w:spacing w:after="0" w:line="240" w:lineRule="auto"/>
        <w:rPr>
          <w:sz w:val="18"/>
          <w:szCs w:val="18"/>
        </w:rPr>
      </w:pPr>
    </w:p>
    <w:p w14:paraId="24F7BEBC"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4CC44063" w14:textId="77777777" w:rsidTr="00183F48">
        <w:trPr>
          <w:tblHeader/>
        </w:trPr>
        <w:tc>
          <w:tcPr>
            <w:tcW w:w="5400" w:type="dxa"/>
            <w:shd w:val="clear" w:color="auto" w:fill="0072C6"/>
          </w:tcPr>
          <w:p w14:paraId="4F5CF163" w14:textId="77777777" w:rsidR="00887EAE" w:rsidRPr="001A0074" w:rsidRDefault="00887EAE"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579897CE" w14:textId="77777777" w:rsidTr="00183F48">
        <w:tc>
          <w:tcPr>
            <w:tcW w:w="5400" w:type="dxa"/>
          </w:tcPr>
          <w:p w14:paraId="1FE6F7E6" w14:textId="77777777" w:rsidR="00887EAE" w:rsidRPr="0076238C" w:rsidRDefault="00887EAE" w:rsidP="00B6224B">
            <w:pPr>
              <w:pStyle w:val="ProductList-OfferingBody"/>
              <w:jc w:val="center"/>
            </w:pPr>
            <w:r>
              <w:t>&lt; 99,9 %</w:t>
            </w:r>
          </w:p>
        </w:tc>
        <w:tc>
          <w:tcPr>
            <w:tcW w:w="5400" w:type="dxa"/>
          </w:tcPr>
          <w:p w14:paraId="7AC0F58A" w14:textId="77777777" w:rsidR="00887EAE" w:rsidRPr="0076238C" w:rsidRDefault="00887EAE" w:rsidP="00B6224B">
            <w:pPr>
              <w:pStyle w:val="ProductList-OfferingBody"/>
              <w:jc w:val="center"/>
            </w:pPr>
            <w:r>
              <w:t>25 %</w:t>
            </w:r>
          </w:p>
        </w:tc>
      </w:tr>
      <w:tr w:rsidR="00887EAE" w:rsidRPr="002928A2" w14:paraId="43B1E280" w14:textId="77777777" w:rsidTr="00183F48">
        <w:tc>
          <w:tcPr>
            <w:tcW w:w="5400" w:type="dxa"/>
          </w:tcPr>
          <w:p w14:paraId="1404B09A" w14:textId="77777777" w:rsidR="00887EAE" w:rsidRPr="0076238C" w:rsidRDefault="00887EAE" w:rsidP="00B6224B">
            <w:pPr>
              <w:pStyle w:val="ProductList-OfferingBody"/>
              <w:jc w:val="center"/>
            </w:pPr>
            <w:r>
              <w:t>&lt; 99 %</w:t>
            </w:r>
          </w:p>
        </w:tc>
        <w:tc>
          <w:tcPr>
            <w:tcW w:w="5400" w:type="dxa"/>
          </w:tcPr>
          <w:p w14:paraId="12F7B39A" w14:textId="77777777" w:rsidR="00887EAE" w:rsidRPr="0076238C" w:rsidRDefault="00887EAE" w:rsidP="00B6224B">
            <w:pPr>
              <w:pStyle w:val="ProductList-OfferingBody"/>
              <w:jc w:val="center"/>
            </w:pPr>
            <w:r>
              <w:t>50 %</w:t>
            </w:r>
          </w:p>
        </w:tc>
      </w:tr>
      <w:tr w:rsidR="00887EAE" w:rsidRPr="002928A2" w14:paraId="38D29A0D" w14:textId="77777777" w:rsidTr="00183F48">
        <w:tc>
          <w:tcPr>
            <w:tcW w:w="5400" w:type="dxa"/>
          </w:tcPr>
          <w:p w14:paraId="1A4B3440" w14:textId="77777777" w:rsidR="00887EAE" w:rsidRPr="0076238C" w:rsidRDefault="00887EAE" w:rsidP="00B6224B">
            <w:pPr>
              <w:pStyle w:val="ProductList-OfferingBody"/>
              <w:jc w:val="center"/>
            </w:pPr>
            <w:r>
              <w:t>&lt; 95 %</w:t>
            </w:r>
          </w:p>
        </w:tc>
        <w:tc>
          <w:tcPr>
            <w:tcW w:w="5400" w:type="dxa"/>
          </w:tcPr>
          <w:p w14:paraId="5220365E" w14:textId="77777777" w:rsidR="00887EAE" w:rsidRPr="0076238C" w:rsidRDefault="00887EAE" w:rsidP="00B6224B">
            <w:pPr>
              <w:pStyle w:val="ProductList-OfferingBody"/>
              <w:jc w:val="center"/>
            </w:pPr>
            <w:r>
              <w:t>100 %</w:t>
            </w:r>
          </w:p>
        </w:tc>
      </w:tr>
    </w:tbl>
    <w:bookmarkStart w:id="84" w:name="_Toc444249041"/>
    <w:p w14:paraId="6E1CD5D3"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99A1521" w14:textId="4ADA5BA5" w:rsidR="00183F48" w:rsidRPr="00407019" w:rsidRDefault="009C340C" w:rsidP="00B6224B">
      <w:pPr>
        <w:pStyle w:val="ProductList-Offering2Heading"/>
      </w:pPr>
      <w:bookmarkStart w:id="85" w:name="_Toc65680417"/>
      <w:r>
        <w:t>Microsoft Teams</w:t>
      </w:r>
      <w:r w:rsidR="00183F48">
        <w:t xml:space="preserve"> – Qualité vocale</w:t>
      </w:r>
      <w:bookmarkEnd w:id="84"/>
      <w:bookmarkEnd w:id="85"/>
    </w:p>
    <w:p w14:paraId="27297DD6" w14:textId="77777777" w:rsidR="00183F48" w:rsidRPr="00827654" w:rsidRDefault="00183F48" w:rsidP="00B6224B">
      <w:pPr>
        <w:pStyle w:val="ProductList-Body"/>
      </w:pPr>
      <w:r>
        <w:t xml:space="preserve">Le présent SLA s’applique à tout appel éligible placé par un utilisateur de service vocal dans le cadre de l'abonnement (activé pour effectuer tout type d'appel </w:t>
      </w:r>
      <w:proofErr w:type="spellStart"/>
      <w:r>
        <w:t>VoIP</w:t>
      </w:r>
      <w:proofErr w:type="spellEnd"/>
      <w:r>
        <w:t xml:space="preserve"> ou PSTN).</w:t>
      </w:r>
    </w:p>
    <w:p w14:paraId="7DCD557A" w14:textId="77777777" w:rsidR="00183F48" w:rsidRDefault="00183F48" w:rsidP="00B6224B">
      <w:pPr>
        <w:pStyle w:val="ProductList-Body"/>
        <w:rPr>
          <w:b/>
          <w:color w:val="00188F"/>
        </w:rPr>
      </w:pPr>
    </w:p>
    <w:p w14:paraId="49552840" w14:textId="77777777" w:rsidR="00183F48" w:rsidRPr="00DA6241" w:rsidRDefault="00183F48" w:rsidP="00B6224B">
      <w:pPr>
        <w:pStyle w:val="ProductList-Body"/>
      </w:pPr>
      <w:r>
        <w:rPr>
          <w:b/>
          <w:color w:val="00188F"/>
        </w:rPr>
        <w:t>Définitions Supplémentaires</w:t>
      </w:r>
      <w:r>
        <w:t> </w:t>
      </w:r>
      <w:r w:rsidRPr="006E70DE">
        <w:rPr>
          <w:bCs/>
        </w:rPr>
        <w:t>:</w:t>
      </w:r>
    </w:p>
    <w:p w14:paraId="62F5EDB3" w14:textId="53F95501" w:rsidR="00183F48" w:rsidRPr="00E25E0F" w:rsidRDefault="00183F48" w:rsidP="00B6224B">
      <w:pPr>
        <w:pStyle w:val="ProductList-Body"/>
      </w:pPr>
      <w:r w:rsidRPr="00426103">
        <w:t>«</w:t>
      </w:r>
      <w:r>
        <w:t> </w:t>
      </w:r>
      <w:r>
        <w:rPr>
          <w:b/>
          <w:color w:val="00188F"/>
        </w:rPr>
        <w:t>Appel Éligible</w:t>
      </w:r>
      <w:r>
        <w:t> </w:t>
      </w:r>
      <w:r w:rsidRPr="00426103">
        <w:t>»</w:t>
      </w:r>
      <w:r>
        <w:t xml:space="preserve"> désigne un appel </w:t>
      </w:r>
      <w:r w:rsidR="009C340C">
        <w:t>Microsoft Teams</w:t>
      </w:r>
      <w:r>
        <w:t xml:space="preserve"> (dans le cadre d’un abonnement) qui répond aux conditions suivantes </w:t>
      </w:r>
      <w:r w:rsidRPr="006E70DE">
        <w:t>:</w:t>
      </w:r>
      <w:r>
        <w:t xml:space="preserve"> </w:t>
      </w:r>
    </w:p>
    <w:p w14:paraId="0FACCCB0" w14:textId="6ED597F6" w:rsidR="00183F48" w:rsidRPr="00E25E0F" w:rsidRDefault="00183F48" w:rsidP="00B6224B">
      <w:pPr>
        <w:pStyle w:val="ProductList-Body"/>
        <w:numPr>
          <w:ilvl w:val="0"/>
          <w:numId w:val="14"/>
        </w:numPr>
      </w:pPr>
      <w:r>
        <w:t xml:space="preserve">L’appel a été passé à partir d’un téléphone Fixe IP Certifié </w:t>
      </w:r>
      <w:r w:rsidR="009C340C">
        <w:t>Microsoft Teams</w:t>
      </w:r>
      <w:r>
        <w:t xml:space="preserve"> via une connexion Ethernet filaire.</w:t>
      </w:r>
    </w:p>
    <w:p w14:paraId="73353B8C" w14:textId="77777777" w:rsidR="00183F48" w:rsidRPr="00E25E0F" w:rsidRDefault="00183F48" w:rsidP="00B6224B">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B6224B">
      <w:pPr>
        <w:pStyle w:val="ProductList-Body"/>
      </w:pPr>
      <w:r w:rsidRPr="00426103">
        <w:t>«</w:t>
      </w:r>
      <w:r>
        <w:t> </w:t>
      </w:r>
      <w:r>
        <w:rPr>
          <w:b/>
          <w:color w:val="00188F"/>
        </w:rPr>
        <w:t>Nombre Total d’Appels</w:t>
      </w:r>
      <w:r>
        <w:t> </w:t>
      </w:r>
      <w:r w:rsidRPr="00426103">
        <w:t>»</w:t>
      </w:r>
      <w:r>
        <w:t xml:space="preserve"> désigne le nombre total d’Appels Éligibles.</w:t>
      </w:r>
    </w:p>
    <w:p w14:paraId="493D0B63" w14:textId="6033EC07" w:rsidR="00183F48" w:rsidRPr="00E25E0F" w:rsidRDefault="00183F48" w:rsidP="00B6224B">
      <w:pPr>
        <w:pStyle w:val="ProductList-Body"/>
      </w:pPr>
      <w:r w:rsidRPr="00426103">
        <w:lastRenderedPageBreak/>
        <w:t>«</w:t>
      </w:r>
      <w:r>
        <w:t> </w:t>
      </w:r>
      <w:r>
        <w:rPr>
          <w:b/>
          <w:color w:val="00188F"/>
        </w:rPr>
        <w:t>Appels de Mauvaise Qualité</w:t>
      </w:r>
      <w:r>
        <w:t> </w:t>
      </w:r>
      <w:r w:rsidRPr="00426103">
        <w:t>»</w:t>
      </w:r>
      <w:r>
        <w:t xml:space="preserve">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w:t>
      </w:r>
      <w:proofErr w:type="spellStart"/>
      <w:r>
        <w:t>roundtrip</w:t>
      </w:r>
      <w:proofErr w:type="spellEnd"/>
      <w:r>
        <w:t xml:space="preserve"> time), le taux de Perte de Paquets, l'Instabilité et les Facteurs de Dissimulation de Perte-Retard de Paquet, il est dynamique et mis à jour continuellement en fonction des nouvelles connaissances provenant de l'analyse utilisant les millions d'appels Skype</w:t>
      </w:r>
      <w:r w:rsidR="009C340C">
        <w:t xml:space="preserve">, </w:t>
      </w:r>
      <w:r>
        <w:t>Skype Entreprise</w:t>
      </w:r>
      <w:r w:rsidR="009C340C">
        <w:t>, et Microsoft Teams</w:t>
      </w:r>
      <w:r>
        <w:t xml:space="preserve"> et l'évolution des dispositifs, les algorithmes et les évaluations des utilisateurs finaux.</w:t>
      </w:r>
    </w:p>
    <w:p w14:paraId="3DB8B608" w14:textId="77777777" w:rsidR="00887EAE" w:rsidRPr="00EB57B5" w:rsidRDefault="00887EAE" w:rsidP="00B6224B">
      <w:pPr>
        <w:pStyle w:val="ProductList-Body"/>
        <w:rPr>
          <w:szCs w:val="18"/>
        </w:rPr>
      </w:pPr>
    </w:p>
    <w:p w14:paraId="722C1803" w14:textId="77777777" w:rsidR="00887EAE" w:rsidRPr="00EB57B5" w:rsidRDefault="00887EAE" w:rsidP="00B6224B">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r w:rsidRPr="006E70DE">
        <w:rPr>
          <w:rFonts w:ascii="Calibri" w:eastAsia="Calibri" w:hAnsi="Calibri" w:cs="Times New Roman"/>
          <w:sz w:val="18"/>
          <w:szCs w:val="18"/>
        </w:rPr>
        <w:t>:</w:t>
      </w:r>
    </w:p>
    <w:p w14:paraId="20A21364" w14:textId="77777777" w:rsidR="00887EAE" w:rsidRPr="00EB57B5" w:rsidRDefault="00887EAE" w:rsidP="00B6224B">
      <w:pPr>
        <w:spacing w:after="0" w:line="240" w:lineRule="auto"/>
        <w:rPr>
          <w:sz w:val="18"/>
          <w:szCs w:val="18"/>
        </w:rPr>
      </w:pPr>
    </w:p>
    <w:p w14:paraId="04CEB72D" w14:textId="77777777" w:rsidR="00887EAE" w:rsidRPr="00EB57B5" w:rsidRDefault="00065349" w:rsidP="00B6224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6BD5BE48" w14:textId="77777777" w:rsidTr="00183F48">
        <w:trPr>
          <w:tblHeader/>
        </w:trPr>
        <w:tc>
          <w:tcPr>
            <w:tcW w:w="5400" w:type="dxa"/>
            <w:shd w:val="clear" w:color="auto" w:fill="0072C6"/>
          </w:tcPr>
          <w:p w14:paraId="41E3BB62" w14:textId="77777777" w:rsidR="00887EAE" w:rsidRPr="001A0074" w:rsidRDefault="00887EAE" w:rsidP="00B6224B">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0EE5ACD5" w14:textId="77777777" w:rsidTr="00183F48">
        <w:tc>
          <w:tcPr>
            <w:tcW w:w="5400" w:type="dxa"/>
          </w:tcPr>
          <w:p w14:paraId="01F1C14D" w14:textId="77777777" w:rsidR="00887EAE" w:rsidRPr="0076238C" w:rsidRDefault="00887EAE" w:rsidP="00B6224B">
            <w:pPr>
              <w:pStyle w:val="ProductList-OfferingBody"/>
              <w:jc w:val="center"/>
            </w:pPr>
            <w:r>
              <w:t>&lt; 99,9 %</w:t>
            </w:r>
          </w:p>
        </w:tc>
        <w:tc>
          <w:tcPr>
            <w:tcW w:w="5400" w:type="dxa"/>
          </w:tcPr>
          <w:p w14:paraId="3291653D" w14:textId="77777777" w:rsidR="00887EAE" w:rsidRPr="0076238C" w:rsidRDefault="00887EAE" w:rsidP="00B6224B">
            <w:pPr>
              <w:pStyle w:val="ProductList-OfferingBody"/>
              <w:jc w:val="center"/>
            </w:pPr>
            <w:r>
              <w:t>25 %</w:t>
            </w:r>
          </w:p>
        </w:tc>
      </w:tr>
      <w:tr w:rsidR="00887EAE" w:rsidRPr="002928A2" w14:paraId="2D2D8D28" w14:textId="77777777" w:rsidTr="00183F48">
        <w:tc>
          <w:tcPr>
            <w:tcW w:w="5400" w:type="dxa"/>
          </w:tcPr>
          <w:p w14:paraId="1C241F6E" w14:textId="77777777" w:rsidR="00887EAE" w:rsidRPr="0076238C" w:rsidRDefault="00887EAE" w:rsidP="00B6224B">
            <w:pPr>
              <w:pStyle w:val="ProductList-OfferingBody"/>
              <w:jc w:val="center"/>
            </w:pPr>
            <w:r>
              <w:t>&lt; 99 %</w:t>
            </w:r>
          </w:p>
        </w:tc>
        <w:tc>
          <w:tcPr>
            <w:tcW w:w="5400" w:type="dxa"/>
          </w:tcPr>
          <w:p w14:paraId="30D66D58" w14:textId="77777777" w:rsidR="00887EAE" w:rsidRPr="0076238C" w:rsidRDefault="00887EAE" w:rsidP="00B6224B">
            <w:pPr>
              <w:pStyle w:val="ProductList-OfferingBody"/>
              <w:jc w:val="center"/>
            </w:pPr>
            <w:r>
              <w:t>50 %</w:t>
            </w:r>
          </w:p>
        </w:tc>
      </w:tr>
      <w:tr w:rsidR="00887EAE" w:rsidRPr="002928A2" w14:paraId="0AB9970C" w14:textId="77777777" w:rsidTr="00183F48">
        <w:tc>
          <w:tcPr>
            <w:tcW w:w="5400" w:type="dxa"/>
          </w:tcPr>
          <w:p w14:paraId="478CF63F" w14:textId="77777777" w:rsidR="00887EAE" w:rsidRPr="0076238C" w:rsidRDefault="00887EAE" w:rsidP="00B6224B">
            <w:pPr>
              <w:pStyle w:val="ProductList-OfferingBody"/>
              <w:jc w:val="center"/>
            </w:pPr>
            <w:r>
              <w:t>&lt; 95 %</w:t>
            </w:r>
          </w:p>
        </w:tc>
        <w:tc>
          <w:tcPr>
            <w:tcW w:w="5400" w:type="dxa"/>
          </w:tcPr>
          <w:p w14:paraId="05CFAA01" w14:textId="77777777" w:rsidR="00887EAE" w:rsidRPr="0076238C" w:rsidRDefault="00887EAE" w:rsidP="00B6224B">
            <w:pPr>
              <w:pStyle w:val="ProductList-OfferingBody"/>
              <w:jc w:val="center"/>
            </w:pPr>
            <w:r>
              <w:t>100 %</w:t>
            </w:r>
          </w:p>
        </w:tc>
      </w:tr>
    </w:tbl>
    <w:bookmarkStart w:id="86" w:name="_Toc487138021"/>
    <w:bookmarkStart w:id="87" w:name="_Hlk487275150"/>
    <w:p w14:paraId="6343EF1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A86BE7F" w14:textId="77777777" w:rsidR="003D7764" w:rsidRPr="0053132A" w:rsidRDefault="003D7764" w:rsidP="00B6224B">
      <w:pPr>
        <w:pStyle w:val="ProductList-Offering2Heading"/>
        <w:outlineLvl w:val="2"/>
      </w:pPr>
      <w:bookmarkStart w:id="88" w:name="_Toc65680418"/>
      <w:r w:rsidRPr="0053132A">
        <w:t>Workplace Analytics</w:t>
      </w:r>
      <w:bookmarkEnd w:id="88"/>
    </w:p>
    <w:p w14:paraId="4E46EEDE" w14:textId="77777777" w:rsidR="003D7764" w:rsidRPr="0053132A" w:rsidRDefault="003D7764" w:rsidP="00B6224B">
      <w:pPr>
        <w:pStyle w:val="ProductList-Body"/>
      </w:pPr>
      <w:r w:rsidRPr="0053132A">
        <w:rPr>
          <w:b/>
          <w:bCs/>
          <w:color w:val="00188F"/>
        </w:rPr>
        <w:t>Temps d’Indisponibilité</w:t>
      </w:r>
      <w:r w:rsidRPr="0053132A">
        <w:rPr>
          <w:b/>
          <w:bCs/>
        </w:rPr>
        <w:t> </w:t>
      </w:r>
      <w:r w:rsidRPr="006E70DE">
        <w:t>:</w:t>
      </w:r>
      <w:r w:rsidRPr="0053132A">
        <w:t xml:space="preserve"> désigne toute période au cours de laquelle les utilisateurs ne peuvent pas accéder au site Web Workplace Analytics.</w:t>
      </w:r>
    </w:p>
    <w:p w14:paraId="1246A799" w14:textId="77777777" w:rsidR="003D7764" w:rsidRPr="0053132A" w:rsidRDefault="003D7764" w:rsidP="00B6224B">
      <w:pPr>
        <w:pStyle w:val="ProductList-Body"/>
      </w:pPr>
    </w:p>
    <w:p w14:paraId="3B98501B" w14:textId="77777777" w:rsidR="003D7764" w:rsidRPr="0053132A" w:rsidRDefault="003D7764" w:rsidP="00B6224B">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Temps de Disponibilité Mensuel est calculé à l’aide de la formule suivante </w:t>
      </w:r>
      <w:r w:rsidRPr="006E70DE">
        <w:t>:</w:t>
      </w:r>
      <w:r w:rsidRPr="0053132A">
        <w:t xml:space="preserve"> </w:t>
      </w:r>
    </w:p>
    <w:p w14:paraId="5D45E623" w14:textId="77777777" w:rsidR="003D7764" w:rsidRPr="0053132A" w:rsidRDefault="003D7764" w:rsidP="00B6224B">
      <w:pPr>
        <w:pStyle w:val="ProductList-Body"/>
      </w:pPr>
    </w:p>
    <w:p w14:paraId="5D9AADBF" w14:textId="77777777" w:rsidR="003D7764" w:rsidRPr="002928A2" w:rsidRDefault="00065349"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 </m:t>
          </m:r>
        </m:oMath>
      </m:oMathPara>
    </w:p>
    <w:p w14:paraId="12085AD8" w14:textId="77777777" w:rsidR="003D7764" w:rsidRPr="0053132A" w:rsidRDefault="003D7764" w:rsidP="00B6224B">
      <w:pPr>
        <w:pStyle w:val="ProductList-Body"/>
      </w:pPr>
      <w:r w:rsidRPr="0053132A">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91DDDE" w14:textId="77777777" w:rsidR="003D7764" w:rsidRPr="0053132A" w:rsidRDefault="003D7764" w:rsidP="00B6224B">
      <w:pPr>
        <w:pStyle w:val="ProductList-Body"/>
      </w:pPr>
    </w:p>
    <w:p w14:paraId="27F97FD7" w14:textId="77777777" w:rsidR="003D7764" w:rsidRPr="0053132A" w:rsidRDefault="003D7764" w:rsidP="00B6224B">
      <w:pPr>
        <w:pStyle w:val="ProductList-Body"/>
      </w:pPr>
      <w:r w:rsidRPr="0053132A">
        <w:rPr>
          <w:b/>
          <w:color w:val="00188F"/>
        </w:rPr>
        <w:t>Avoir Service</w:t>
      </w:r>
      <w:r w:rsidRPr="0053132A">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764" w:rsidRPr="002928A2" w14:paraId="4ECEBAF1" w14:textId="77777777" w:rsidTr="00600023">
        <w:trPr>
          <w:tblHeader/>
        </w:trPr>
        <w:tc>
          <w:tcPr>
            <w:tcW w:w="5400" w:type="dxa"/>
            <w:shd w:val="clear" w:color="auto" w:fill="0072C6"/>
          </w:tcPr>
          <w:p w14:paraId="29AA2E0E" w14:textId="77777777" w:rsidR="003D7764" w:rsidRPr="0053132A" w:rsidRDefault="003D7764" w:rsidP="00B6224B">
            <w:pPr>
              <w:pStyle w:val="ProductList-OfferingBody"/>
              <w:jc w:val="center"/>
              <w:rPr>
                <w:color w:val="FFFFFF" w:themeColor="background1"/>
              </w:rPr>
            </w:pPr>
            <w:r w:rsidRPr="0053132A">
              <w:rPr>
                <w:color w:val="FFFFFF" w:themeColor="background1"/>
              </w:rPr>
              <w:t>Pourcentage de Temps de Disponibilité Mensuel</w:t>
            </w:r>
          </w:p>
        </w:tc>
        <w:tc>
          <w:tcPr>
            <w:tcW w:w="5400" w:type="dxa"/>
            <w:shd w:val="clear" w:color="auto" w:fill="0072C6"/>
          </w:tcPr>
          <w:p w14:paraId="00B5857D" w14:textId="77777777" w:rsidR="003D7764" w:rsidRPr="0053132A" w:rsidRDefault="003D7764" w:rsidP="00B6224B">
            <w:pPr>
              <w:pStyle w:val="ProductList-OfferingBody"/>
              <w:jc w:val="center"/>
              <w:rPr>
                <w:color w:val="FFFFFF" w:themeColor="background1"/>
              </w:rPr>
            </w:pPr>
            <w:r w:rsidRPr="0053132A">
              <w:rPr>
                <w:color w:val="FFFFFF" w:themeColor="background1"/>
              </w:rPr>
              <w:t>Avoir Service</w:t>
            </w:r>
          </w:p>
        </w:tc>
      </w:tr>
      <w:tr w:rsidR="003D7764" w:rsidRPr="002928A2" w14:paraId="5A4471DD" w14:textId="77777777" w:rsidTr="00600023">
        <w:tc>
          <w:tcPr>
            <w:tcW w:w="5400" w:type="dxa"/>
          </w:tcPr>
          <w:p w14:paraId="6BE681AC" w14:textId="77777777" w:rsidR="003D7764" w:rsidRPr="0053132A" w:rsidRDefault="003D7764" w:rsidP="00B6224B">
            <w:pPr>
              <w:pStyle w:val="ProductList-OfferingBody"/>
              <w:jc w:val="center"/>
            </w:pPr>
            <w:r w:rsidRPr="0053132A">
              <w:t>&lt; 99,9 %</w:t>
            </w:r>
          </w:p>
        </w:tc>
        <w:tc>
          <w:tcPr>
            <w:tcW w:w="5400" w:type="dxa"/>
          </w:tcPr>
          <w:p w14:paraId="05098BCA" w14:textId="77777777" w:rsidR="003D7764" w:rsidRPr="0053132A" w:rsidRDefault="003D7764" w:rsidP="00B6224B">
            <w:pPr>
              <w:pStyle w:val="ProductList-OfferingBody"/>
              <w:jc w:val="center"/>
            </w:pPr>
            <w:r w:rsidRPr="0053132A">
              <w:t>25 %</w:t>
            </w:r>
          </w:p>
        </w:tc>
      </w:tr>
      <w:tr w:rsidR="003D7764" w:rsidRPr="002928A2" w14:paraId="29A262AD" w14:textId="77777777" w:rsidTr="00600023">
        <w:tc>
          <w:tcPr>
            <w:tcW w:w="5400" w:type="dxa"/>
          </w:tcPr>
          <w:p w14:paraId="0ED10EF1" w14:textId="77777777" w:rsidR="003D7764" w:rsidRPr="0053132A" w:rsidRDefault="003D7764" w:rsidP="00B6224B">
            <w:pPr>
              <w:pStyle w:val="ProductList-OfferingBody"/>
              <w:jc w:val="center"/>
            </w:pPr>
            <w:r w:rsidRPr="0053132A">
              <w:t>&lt; 99 %</w:t>
            </w:r>
          </w:p>
        </w:tc>
        <w:tc>
          <w:tcPr>
            <w:tcW w:w="5400" w:type="dxa"/>
          </w:tcPr>
          <w:p w14:paraId="0536FD5C" w14:textId="77777777" w:rsidR="003D7764" w:rsidRPr="0053132A" w:rsidRDefault="003D7764" w:rsidP="00B6224B">
            <w:pPr>
              <w:pStyle w:val="ProductList-OfferingBody"/>
              <w:jc w:val="center"/>
            </w:pPr>
            <w:r w:rsidRPr="0053132A">
              <w:t>50 %</w:t>
            </w:r>
          </w:p>
        </w:tc>
      </w:tr>
      <w:tr w:rsidR="003D7764" w:rsidRPr="002928A2" w14:paraId="3CB57060" w14:textId="77777777" w:rsidTr="00600023">
        <w:tc>
          <w:tcPr>
            <w:tcW w:w="5400" w:type="dxa"/>
          </w:tcPr>
          <w:p w14:paraId="55B05FC9" w14:textId="77777777" w:rsidR="003D7764" w:rsidRPr="0053132A" w:rsidRDefault="003D7764" w:rsidP="00B6224B">
            <w:pPr>
              <w:pStyle w:val="ProductList-OfferingBody"/>
              <w:jc w:val="center"/>
            </w:pPr>
            <w:r w:rsidRPr="0053132A">
              <w:t>&lt; 95 %</w:t>
            </w:r>
          </w:p>
        </w:tc>
        <w:tc>
          <w:tcPr>
            <w:tcW w:w="5400" w:type="dxa"/>
          </w:tcPr>
          <w:p w14:paraId="6A579329" w14:textId="77777777" w:rsidR="003D7764" w:rsidRPr="0053132A" w:rsidRDefault="003D7764" w:rsidP="00B6224B">
            <w:pPr>
              <w:pStyle w:val="ProductList-OfferingBody"/>
              <w:jc w:val="center"/>
            </w:pPr>
            <w:r w:rsidRPr="0053132A">
              <w:t>100 %</w:t>
            </w:r>
          </w:p>
        </w:tc>
      </w:tr>
    </w:tbl>
    <w:bookmarkEnd w:id="86"/>
    <w:bookmarkEnd w:id="87"/>
    <w:p w14:paraId="4037634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6C3629" w14:textId="05958C46" w:rsidR="00C86427" w:rsidRPr="008E64FF" w:rsidRDefault="00C86427" w:rsidP="00B6224B">
      <w:pPr>
        <w:pStyle w:val="ProductList-Offering2Heading"/>
        <w:rPr>
          <w:lang w:eastAsia="en-US" w:bidi="ar-SA"/>
        </w:rPr>
      </w:pPr>
      <w:bookmarkStart w:id="89" w:name="_Toc65680419"/>
      <w:r w:rsidRPr="008E64FF">
        <w:rPr>
          <w:lang w:eastAsia="en-US" w:bidi="ar-SA"/>
        </w:rPr>
        <w:t>Yammer Enterprise</w:t>
      </w:r>
      <w:bookmarkEnd w:id="89"/>
    </w:p>
    <w:p w14:paraId="2A669564" w14:textId="5C22D025"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B6224B">
      <w:pPr>
        <w:pStyle w:val="ProductList-Body"/>
      </w:pPr>
    </w:p>
    <w:p w14:paraId="476BDF33" w14:textId="3E98068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05E7767" w14:textId="77777777" w:rsidR="00C86427" w:rsidRPr="00FB368F" w:rsidRDefault="00C86427" w:rsidP="00B6224B">
      <w:pPr>
        <w:pStyle w:val="ProductList-Body"/>
      </w:pPr>
    </w:p>
    <w:p w14:paraId="13177606" w14:textId="7B2A6956" w:rsidR="00C86427" w:rsidRPr="002928A2" w:rsidRDefault="00065349"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B6224B">
      <w:pPr>
        <w:pStyle w:val="ProductList-Body"/>
      </w:pPr>
    </w:p>
    <w:p w14:paraId="3CB8DA5D" w14:textId="47AD54A4"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1977F559" w14:textId="77777777" w:rsidTr="00183F48">
        <w:trPr>
          <w:tblHeader/>
        </w:trPr>
        <w:tc>
          <w:tcPr>
            <w:tcW w:w="5400" w:type="dxa"/>
            <w:shd w:val="clear" w:color="auto" w:fill="0072C6"/>
          </w:tcPr>
          <w:p w14:paraId="1A9DFE79"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6C555692" w14:textId="77777777" w:rsidTr="00183F48">
        <w:tc>
          <w:tcPr>
            <w:tcW w:w="5400" w:type="dxa"/>
          </w:tcPr>
          <w:p w14:paraId="2A0C0D6F" w14:textId="79723A54" w:rsidR="00C86427" w:rsidRPr="0076238C" w:rsidRDefault="00C86427" w:rsidP="00B6224B">
            <w:pPr>
              <w:pStyle w:val="ProductList-OfferingBody"/>
              <w:jc w:val="center"/>
            </w:pPr>
            <w:r>
              <w:t>&lt; 99,9 %</w:t>
            </w:r>
          </w:p>
        </w:tc>
        <w:tc>
          <w:tcPr>
            <w:tcW w:w="5400" w:type="dxa"/>
          </w:tcPr>
          <w:p w14:paraId="2B6C1459" w14:textId="0163C3E0" w:rsidR="00C86427" w:rsidRPr="0076238C" w:rsidRDefault="00C86427" w:rsidP="00B6224B">
            <w:pPr>
              <w:pStyle w:val="ProductList-OfferingBody"/>
              <w:jc w:val="center"/>
            </w:pPr>
            <w:r>
              <w:t>25</w:t>
            </w:r>
            <w:r w:rsidR="00F3034E">
              <w:t xml:space="preserve"> </w:t>
            </w:r>
            <w:r>
              <w:t>%</w:t>
            </w:r>
          </w:p>
        </w:tc>
      </w:tr>
      <w:tr w:rsidR="00C86427" w:rsidRPr="002928A2" w14:paraId="7022003C" w14:textId="77777777" w:rsidTr="00183F48">
        <w:tc>
          <w:tcPr>
            <w:tcW w:w="5400" w:type="dxa"/>
          </w:tcPr>
          <w:p w14:paraId="20E720BE" w14:textId="2E34B42F" w:rsidR="00C86427" w:rsidRPr="0076238C" w:rsidRDefault="00C86427" w:rsidP="00B6224B">
            <w:pPr>
              <w:pStyle w:val="ProductList-OfferingBody"/>
              <w:jc w:val="center"/>
            </w:pPr>
            <w:r>
              <w:t>&lt; 99 %</w:t>
            </w:r>
          </w:p>
        </w:tc>
        <w:tc>
          <w:tcPr>
            <w:tcW w:w="5400" w:type="dxa"/>
          </w:tcPr>
          <w:p w14:paraId="5DDFDCAF" w14:textId="6B5E2657" w:rsidR="00C86427" w:rsidRPr="0076238C" w:rsidRDefault="00C86427" w:rsidP="00B6224B">
            <w:pPr>
              <w:pStyle w:val="ProductList-OfferingBody"/>
              <w:jc w:val="center"/>
            </w:pPr>
            <w:r>
              <w:t>50</w:t>
            </w:r>
            <w:r w:rsidR="00F3034E">
              <w:t xml:space="preserve"> </w:t>
            </w:r>
            <w:r>
              <w:t>%</w:t>
            </w:r>
          </w:p>
        </w:tc>
      </w:tr>
      <w:tr w:rsidR="00C86427" w:rsidRPr="002928A2" w14:paraId="370A5AC6" w14:textId="77777777" w:rsidTr="00183F48">
        <w:tc>
          <w:tcPr>
            <w:tcW w:w="5400" w:type="dxa"/>
          </w:tcPr>
          <w:p w14:paraId="636FF5C1" w14:textId="77777777" w:rsidR="00C86427" w:rsidRPr="0076238C" w:rsidRDefault="00C86427" w:rsidP="004732EE">
            <w:pPr>
              <w:pStyle w:val="ProductList-OfferingBody"/>
              <w:keepNext/>
              <w:jc w:val="center"/>
            </w:pPr>
            <w:r>
              <w:lastRenderedPageBreak/>
              <w:t>&lt; 95 %</w:t>
            </w:r>
          </w:p>
        </w:tc>
        <w:tc>
          <w:tcPr>
            <w:tcW w:w="5400" w:type="dxa"/>
          </w:tcPr>
          <w:p w14:paraId="5933E5F9" w14:textId="15F1B9C4" w:rsidR="00C86427" w:rsidRPr="0076238C" w:rsidRDefault="00C86427" w:rsidP="004732EE">
            <w:pPr>
              <w:pStyle w:val="ProductList-OfferingBody"/>
              <w:keepNext/>
              <w:jc w:val="center"/>
            </w:pPr>
            <w:r>
              <w:t>100</w:t>
            </w:r>
            <w:r w:rsidR="00F3034E">
              <w:t xml:space="preserve"> </w:t>
            </w:r>
            <w:r>
              <w:t>%</w:t>
            </w:r>
          </w:p>
        </w:tc>
      </w:tr>
    </w:tbl>
    <w:p w14:paraId="27E85730" w14:textId="77777777" w:rsidR="009C340C" w:rsidRPr="00FB368F" w:rsidRDefault="00065349"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EAEAD14" w14:textId="77777777" w:rsidR="0084633F" w:rsidRPr="00A77B85" w:rsidRDefault="0084633F" w:rsidP="0084633F">
      <w:pPr>
        <w:pStyle w:val="ProductList-OfferingGroupHeading"/>
        <w:tabs>
          <w:tab w:val="clear" w:pos="360"/>
          <w:tab w:val="clear" w:pos="720"/>
          <w:tab w:val="clear" w:pos="1080"/>
        </w:tabs>
        <w:outlineLvl w:val="1"/>
      </w:pPr>
      <w:bookmarkStart w:id="90" w:name="_Toc52348915"/>
      <w:bookmarkStart w:id="91" w:name="MicrosoftAzureServices"/>
      <w:bookmarkStart w:id="92" w:name="_Toc65680420"/>
      <w:r>
        <w:t>Microsoft Azure Services</w:t>
      </w:r>
      <w:bookmarkEnd w:id="90"/>
      <w:r>
        <w:t xml:space="preserve"> et Azure Plans</w:t>
      </w:r>
      <w:bookmarkEnd w:id="92"/>
    </w:p>
    <w:bookmarkEnd w:id="91"/>
    <w:p w14:paraId="1A3C58ED" w14:textId="0678BFF8" w:rsidR="0084633F" w:rsidRPr="008E64FF" w:rsidRDefault="0084633F" w:rsidP="0084633F">
      <w:r>
        <w:rPr>
          <w:sz w:val="18"/>
        </w:rPr>
        <w:t xml:space="preserve">Pour les conditions spécifiques aux Services Azure et aux Plans Azure, se référer à </w:t>
      </w:r>
      <w:hyperlink r:id="rId20" w:history="1">
        <w:r w:rsidRPr="0084633F">
          <w:rPr>
            <w:rStyle w:val="Hyperlink"/>
            <w:sz w:val="18"/>
            <w:szCs w:val="18"/>
          </w:rPr>
          <w:t>http://azure.microsoft.com/support/legal/sla/</w:t>
        </w:r>
      </w:hyperlink>
      <w:r w:rsidRPr="0084633F">
        <w:rPr>
          <w:sz w:val="18"/>
          <w:szCs w:val="18"/>
        </w:rPr>
        <w:t>.</w:t>
      </w:r>
    </w:p>
    <w:p w14:paraId="1E8BDC16" w14:textId="3E944CE2" w:rsidR="003A16EB" w:rsidRPr="005A6CF1" w:rsidRDefault="003A16EB" w:rsidP="0084633F">
      <w:pPr>
        <w:pStyle w:val="ProductList-OfferingGroupHeading"/>
        <w:tabs>
          <w:tab w:val="clear" w:pos="360"/>
          <w:tab w:val="clear" w:pos="720"/>
          <w:tab w:val="clear" w:pos="1080"/>
        </w:tabs>
        <w:outlineLvl w:val="1"/>
        <w:rPr>
          <w:lang w:val="en-US" w:eastAsia="en-US" w:bidi="ar-SA"/>
        </w:rPr>
      </w:pPr>
      <w:bookmarkStart w:id="93" w:name="_Toc65680421"/>
      <w:proofErr w:type="spellStart"/>
      <w:r w:rsidRPr="005A6CF1">
        <w:rPr>
          <w:lang w:val="en-US" w:eastAsia="en-US" w:bidi="ar-SA"/>
        </w:rPr>
        <w:t>Autres</w:t>
      </w:r>
      <w:proofErr w:type="spellEnd"/>
      <w:r w:rsidRPr="005A6CF1">
        <w:rPr>
          <w:lang w:val="en-US" w:eastAsia="en-US" w:bidi="ar-SA"/>
        </w:rPr>
        <w:t xml:space="preserve"> services </w:t>
      </w:r>
      <w:proofErr w:type="spellStart"/>
      <w:r w:rsidRPr="005A6CF1">
        <w:rPr>
          <w:lang w:val="en-US" w:eastAsia="en-US" w:bidi="ar-SA"/>
        </w:rPr>
        <w:t>en</w:t>
      </w:r>
      <w:proofErr w:type="spellEnd"/>
      <w:r w:rsidRPr="005A6CF1">
        <w:rPr>
          <w:lang w:val="en-US" w:eastAsia="en-US" w:bidi="ar-SA"/>
        </w:rPr>
        <w:t xml:space="preserve"> </w:t>
      </w:r>
      <w:proofErr w:type="spellStart"/>
      <w:r w:rsidRPr="005A6CF1">
        <w:rPr>
          <w:lang w:val="en-US" w:eastAsia="en-US" w:bidi="ar-SA"/>
        </w:rPr>
        <w:t>ligne</w:t>
      </w:r>
      <w:bookmarkEnd w:id="93"/>
      <w:proofErr w:type="spellEnd"/>
    </w:p>
    <w:p w14:paraId="07F4C812" w14:textId="77777777" w:rsidR="004732EE" w:rsidRPr="00DC4F88" w:rsidRDefault="004732EE" w:rsidP="004732EE">
      <w:pPr>
        <w:pBdr>
          <w:bottom w:val="single" w:sz="4" w:space="1" w:color="595959"/>
        </w:pBdr>
        <w:spacing w:before="60" w:after="60" w:line="240" w:lineRule="auto"/>
        <w:ind w:firstLine="187"/>
        <w:outlineLvl w:val="2"/>
      </w:pPr>
      <w:bookmarkStart w:id="94" w:name="_Toc55920316"/>
      <w:bookmarkStart w:id="95" w:name="MicrosoftDefenderforIdentity"/>
      <w:r>
        <w:rPr>
          <w:rFonts w:ascii="Calibri Light" w:eastAsia="Calibri" w:hAnsi="Calibri Light" w:cs="Arial"/>
          <w:b/>
          <w:color w:val="0072C6"/>
          <w:sz w:val="28"/>
        </w:rPr>
        <w:t>Microsoft Defender pour Identity</w:t>
      </w:r>
      <w:bookmarkEnd w:id="94"/>
    </w:p>
    <w:bookmarkEnd w:id="95"/>
    <w:p w14:paraId="54AC1BA7" w14:textId="77777777" w:rsidR="004732EE" w:rsidRPr="00DC4F88" w:rsidRDefault="004732EE" w:rsidP="004732EE">
      <w:pPr>
        <w:tabs>
          <w:tab w:val="left" w:pos="360"/>
          <w:tab w:val="left" w:pos="720"/>
          <w:tab w:val="left" w:pos="1080"/>
        </w:tabs>
        <w:spacing w:after="0" w:line="240" w:lineRule="auto"/>
      </w:pPr>
      <w:r>
        <w:rPr>
          <w:rFonts w:ascii="Calibri" w:eastAsia="Calibri" w:hAnsi="Calibri" w:cs="Arial"/>
          <w:b/>
          <w:color w:val="00188F"/>
          <w:sz w:val="18"/>
        </w:rPr>
        <w:t>Définitions Supplémentaires</w:t>
      </w:r>
      <w:r>
        <w:rPr>
          <w:rFonts w:ascii="Calibri" w:eastAsia="Calibri" w:hAnsi="Calibri" w:cs="Arial"/>
          <w:sz w:val="18"/>
        </w:rPr>
        <w:t> </w:t>
      </w:r>
      <w:r w:rsidRPr="00F10035">
        <w:rPr>
          <w:rFonts w:ascii="Calibri" w:eastAsia="Calibri" w:hAnsi="Calibri" w:cs="Arial"/>
          <w:b/>
          <w:bCs/>
          <w:sz w:val="18"/>
        </w:rPr>
        <w:t>:</w:t>
      </w:r>
    </w:p>
    <w:p w14:paraId="28E68C82" w14:textId="69ADA996" w:rsidR="00893F36" w:rsidRPr="002928A2" w:rsidRDefault="004732EE" w:rsidP="004732EE">
      <w:pPr>
        <w:spacing w:after="0"/>
        <w:rPr>
          <w:sz w:val="18"/>
          <w:szCs w:val="18"/>
        </w:rPr>
      </w:pPr>
      <w:r>
        <w:rPr>
          <w:rFonts w:ascii="Calibri" w:eastAsia="Calibri" w:hAnsi="Calibri" w:cs="Arial"/>
          <w:sz w:val="18"/>
        </w:rPr>
        <w:t>« </w:t>
      </w:r>
      <w:r>
        <w:rPr>
          <w:rFonts w:ascii="Calibri" w:eastAsia="Calibri" w:hAnsi="Calibri" w:cs="Arial"/>
          <w:b/>
          <w:color w:val="00188F"/>
          <w:sz w:val="18"/>
        </w:rPr>
        <w:t>Temps d’Indisponibilité</w:t>
      </w:r>
      <w:r>
        <w:rPr>
          <w:rFonts w:ascii="Calibri" w:eastAsia="Calibri" w:hAnsi="Calibri" w:cs="Arial"/>
          <w:sz w:val="18"/>
        </w:rPr>
        <w:t> » désigne toute période au cours de laquelle l’administrateur ne peut pas accéder au portail Microsoft Defender pour Identity</w:t>
      </w:r>
      <w:r w:rsidR="00893F36">
        <w:rPr>
          <w:sz w:val="18"/>
        </w:rPr>
        <w:t>.</w:t>
      </w:r>
    </w:p>
    <w:p w14:paraId="3483C286" w14:textId="77777777" w:rsidR="004732EE" w:rsidRDefault="004732EE" w:rsidP="00893F36">
      <w:pPr>
        <w:pStyle w:val="ProductList-Body"/>
        <w:rPr>
          <w:b/>
          <w:bCs/>
          <w:color w:val="00188F"/>
        </w:rPr>
      </w:pPr>
    </w:p>
    <w:p w14:paraId="2FA91ABD" w14:textId="0ACEA45A" w:rsidR="00893F36" w:rsidRDefault="00893F36" w:rsidP="00893F36">
      <w:pPr>
        <w:pStyle w:val="ProductList-Body"/>
      </w:pPr>
      <w:r>
        <w:rPr>
          <w:b/>
          <w:bCs/>
          <w:color w:val="00188F"/>
        </w:rPr>
        <w:t>Pourcentage de Temps de Disponibilité Mensuel</w:t>
      </w:r>
      <w:r>
        <w:t> </w:t>
      </w:r>
      <w:r w:rsidRPr="0086228D">
        <w:rPr>
          <w:b/>
          <w:bCs/>
        </w:rPr>
        <w:t>:</w:t>
      </w:r>
      <w:r>
        <w:t xml:space="preserve"> le Pourcentage de Temps de Disponibilité Mensuel est calculé à l’aide de la formule suivante : </w:t>
      </w:r>
    </w:p>
    <w:p w14:paraId="05739164" w14:textId="77777777" w:rsidR="00893F36" w:rsidRPr="00552D87" w:rsidRDefault="00893F36" w:rsidP="00893F36">
      <w:pPr>
        <w:pStyle w:val="ProductList-Body"/>
      </w:pPr>
    </w:p>
    <w:p w14:paraId="3D9D5CCE" w14:textId="77777777" w:rsidR="00893F36" w:rsidRPr="00426103" w:rsidRDefault="00065349" w:rsidP="00893F36">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Utilisateur – Temps d’Indisponibilité</m:t>
              </m:r>
            </m:num>
            <m:den>
              <m:r>
                <w:rPr>
                  <w:rFonts w:ascii="Cambria Math" w:hAnsi="Cambria Math" w:cs="Tahoma"/>
                  <w:sz w:val="18"/>
                  <w:szCs w:val="18"/>
                </w:rPr>
                <m:t>Minutes Utilisateur</m:t>
              </m:r>
            </m:den>
          </m:f>
          <m:r>
            <w:rPr>
              <w:rFonts w:ascii="Cambria Math" w:hAnsi="Cambria Math" w:cs="Tahoma"/>
              <w:sz w:val="18"/>
              <w:szCs w:val="18"/>
            </w:rPr>
            <m:t xml:space="preserve"> x 100</m:t>
          </m:r>
        </m:oMath>
      </m:oMathPara>
    </w:p>
    <w:p w14:paraId="58FE1C82" w14:textId="77777777" w:rsidR="00893F36" w:rsidRPr="00426103" w:rsidRDefault="00893F36" w:rsidP="004732EE">
      <w:pPr>
        <w:spacing w:after="0"/>
        <w:rPr>
          <w:sz w:val="18"/>
          <w:szCs w:val="18"/>
        </w:rPr>
      </w:pPr>
      <w:r w:rsidRPr="00426103">
        <w:rPr>
          <w:rFonts w:eastAsiaTheme="minorEastAsia"/>
          <w:sz w:val="18"/>
          <w:szCs w:val="18"/>
        </w:rPr>
        <w:t>dans</w:t>
      </w:r>
      <w:r w:rsidRPr="00426103">
        <w:rPr>
          <w:sz w:val="18"/>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5F4B72E" w14:textId="77777777" w:rsidR="004732EE" w:rsidRDefault="004732EE" w:rsidP="00893F36">
      <w:pPr>
        <w:pStyle w:val="ProductList-Body"/>
        <w:rPr>
          <w:b/>
          <w:bCs/>
          <w:color w:val="00188F"/>
        </w:rPr>
      </w:pPr>
    </w:p>
    <w:p w14:paraId="2798809E" w14:textId="67446572" w:rsidR="00893F36" w:rsidRPr="00552D87" w:rsidRDefault="00893F36" w:rsidP="00893F36">
      <w:pPr>
        <w:pStyle w:val="ProductList-Body"/>
      </w:pPr>
      <w:r>
        <w:rPr>
          <w:b/>
          <w:bCs/>
          <w:color w:val="00188F"/>
        </w:rPr>
        <w:t>Avoir Service</w:t>
      </w:r>
      <w:r>
        <w:t> :</w:t>
      </w:r>
    </w:p>
    <w:tbl>
      <w:tblPr>
        <w:tblW w:w="1080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8"/>
        <w:gridCol w:w="5391"/>
      </w:tblGrid>
      <w:tr w:rsidR="00893F36" w:rsidRPr="002928A2" w14:paraId="5A3627B7" w14:textId="77777777" w:rsidTr="00DC0E21">
        <w:trPr>
          <w:tblHeader/>
        </w:trPr>
        <w:tc>
          <w:tcPr>
            <w:tcW w:w="5418" w:type="dxa"/>
            <w:shd w:val="clear" w:color="auto" w:fill="0072C6"/>
            <w:tcMar>
              <w:top w:w="0" w:type="dxa"/>
              <w:left w:w="108" w:type="dxa"/>
              <w:bottom w:w="0" w:type="dxa"/>
              <w:right w:w="108" w:type="dxa"/>
            </w:tcMar>
            <w:hideMark/>
          </w:tcPr>
          <w:p w14:paraId="208AFBA0" w14:textId="77777777" w:rsidR="00893F36" w:rsidRPr="00CE181C" w:rsidRDefault="00893F36" w:rsidP="00DC0E21">
            <w:pPr>
              <w:pStyle w:val="ProductList-OfferingBody"/>
              <w:spacing w:line="252" w:lineRule="auto"/>
              <w:jc w:val="center"/>
              <w:rPr>
                <w:color w:val="FFFFFF"/>
              </w:rPr>
            </w:pPr>
            <w:r>
              <w:rPr>
                <w:color w:val="FFFFFF"/>
              </w:rPr>
              <w:t>Pourcentage de Temps de Disponibilité Mensuel</w:t>
            </w:r>
          </w:p>
        </w:tc>
        <w:tc>
          <w:tcPr>
            <w:tcW w:w="5391" w:type="dxa"/>
            <w:shd w:val="clear" w:color="auto" w:fill="0072C6"/>
            <w:tcMar>
              <w:top w:w="0" w:type="dxa"/>
              <w:left w:w="108" w:type="dxa"/>
              <w:bottom w:w="0" w:type="dxa"/>
              <w:right w:w="108" w:type="dxa"/>
            </w:tcMar>
            <w:hideMark/>
          </w:tcPr>
          <w:p w14:paraId="0EE3F4E1" w14:textId="77777777" w:rsidR="00893F36" w:rsidRPr="00CE181C" w:rsidRDefault="00893F36" w:rsidP="00DC0E21">
            <w:pPr>
              <w:pStyle w:val="ProductList-OfferingBody"/>
              <w:spacing w:line="252" w:lineRule="auto"/>
              <w:jc w:val="center"/>
              <w:rPr>
                <w:color w:val="FFFFFF"/>
              </w:rPr>
            </w:pPr>
            <w:r>
              <w:rPr>
                <w:color w:val="FFFFFF"/>
              </w:rPr>
              <w:t>Avoir Service</w:t>
            </w:r>
          </w:p>
        </w:tc>
      </w:tr>
      <w:tr w:rsidR="00893F36" w:rsidRPr="002928A2" w14:paraId="29EDF1FB" w14:textId="77777777" w:rsidTr="00DC0E21">
        <w:tc>
          <w:tcPr>
            <w:tcW w:w="5418" w:type="dxa"/>
            <w:tcMar>
              <w:top w:w="0" w:type="dxa"/>
              <w:left w:w="108" w:type="dxa"/>
              <w:bottom w:w="0" w:type="dxa"/>
              <w:right w:w="108" w:type="dxa"/>
            </w:tcMar>
            <w:hideMark/>
          </w:tcPr>
          <w:p w14:paraId="6A9E785C" w14:textId="77777777" w:rsidR="00893F36" w:rsidRDefault="00893F36" w:rsidP="00DC0E21">
            <w:pPr>
              <w:pStyle w:val="ProductList-OfferingBody"/>
              <w:spacing w:line="252" w:lineRule="auto"/>
              <w:jc w:val="center"/>
            </w:pPr>
            <w:r>
              <w:t>&lt; 99,9 %</w:t>
            </w:r>
          </w:p>
        </w:tc>
        <w:tc>
          <w:tcPr>
            <w:tcW w:w="5391" w:type="dxa"/>
            <w:tcMar>
              <w:top w:w="0" w:type="dxa"/>
              <w:left w:w="108" w:type="dxa"/>
              <w:bottom w:w="0" w:type="dxa"/>
              <w:right w:w="108" w:type="dxa"/>
            </w:tcMar>
            <w:hideMark/>
          </w:tcPr>
          <w:p w14:paraId="5C7C5C4E" w14:textId="66146C5C" w:rsidR="00893F36" w:rsidRDefault="00893F36" w:rsidP="00DC0E21">
            <w:pPr>
              <w:pStyle w:val="ProductList-OfferingBody"/>
              <w:spacing w:line="252" w:lineRule="auto"/>
              <w:jc w:val="center"/>
            </w:pPr>
            <w:r>
              <w:t>10%</w:t>
            </w:r>
          </w:p>
        </w:tc>
      </w:tr>
      <w:tr w:rsidR="00893F36" w:rsidRPr="002928A2" w14:paraId="5A8BA71F" w14:textId="77777777" w:rsidTr="00DC0E21">
        <w:tc>
          <w:tcPr>
            <w:tcW w:w="5418" w:type="dxa"/>
            <w:tcMar>
              <w:top w:w="0" w:type="dxa"/>
              <w:left w:w="108" w:type="dxa"/>
              <w:bottom w:w="0" w:type="dxa"/>
              <w:right w:w="108" w:type="dxa"/>
            </w:tcMar>
            <w:hideMark/>
          </w:tcPr>
          <w:p w14:paraId="2868F543" w14:textId="77777777" w:rsidR="00893F36" w:rsidRDefault="00893F36" w:rsidP="00DC0E21">
            <w:pPr>
              <w:pStyle w:val="ProductList-OfferingBody"/>
              <w:spacing w:line="252" w:lineRule="auto"/>
              <w:jc w:val="center"/>
            </w:pPr>
            <w:r>
              <w:t>&lt; 99 %</w:t>
            </w:r>
          </w:p>
        </w:tc>
        <w:tc>
          <w:tcPr>
            <w:tcW w:w="5391" w:type="dxa"/>
            <w:tcMar>
              <w:top w:w="0" w:type="dxa"/>
              <w:left w:w="108" w:type="dxa"/>
              <w:bottom w:w="0" w:type="dxa"/>
              <w:right w:w="108" w:type="dxa"/>
            </w:tcMar>
            <w:hideMark/>
          </w:tcPr>
          <w:p w14:paraId="5D95E554" w14:textId="6467A585" w:rsidR="00893F36" w:rsidRDefault="00893F36" w:rsidP="00DC0E21">
            <w:pPr>
              <w:pStyle w:val="ProductList-OfferingBody"/>
              <w:spacing w:line="252" w:lineRule="auto"/>
              <w:jc w:val="center"/>
            </w:pPr>
            <w:r>
              <w:t>25%</w:t>
            </w:r>
          </w:p>
        </w:tc>
      </w:tr>
    </w:tbl>
    <w:p w14:paraId="197F6E68" w14:textId="77777777" w:rsidR="00893F36" w:rsidRPr="00FB368F" w:rsidRDefault="00065349" w:rsidP="00893F36">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893F36">
          <w:rPr>
            <w:rStyle w:val="Hyperlink"/>
            <w:sz w:val="16"/>
            <w:szCs w:val="16"/>
          </w:rPr>
          <w:t>Table des matières</w:t>
        </w:r>
      </w:hyperlink>
      <w:r w:rsidR="00893F36">
        <w:rPr>
          <w:sz w:val="16"/>
          <w:szCs w:val="16"/>
        </w:rPr>
        <w:t xml:space="preserve"> / </w:t>
      </w:r>
      <w:hyperlink w:anchor="Definitions" w:tooltip="Définitions" w:history="1">
        <w:r w:rsidR="00893F36">
          <w:rPr>
            <w:rStyle w:val="Hyperlink"/>
            <w:sz w:val="16"/>
            <w:szCs w:val="16"/>
          </w:rPr>
          <w:t>Définitions</w:t>
        </w:r>
      </w:hyperlink>
    </w:p>
    <w:p w14:paraId="7686F9ED" w14:textId="6DBB62F2" w:rsidR="003A16EB" w:rsidRPr="005A6CF1" w:rsidRDefault="003A16EB" w:rsidP="00B6224B">
      <w:pPr>
        <w:pStyle w:val="ProductList-Offering2Heading"/>
        <w:tabs>
          <w:tab w:val="clear" w:pos="360"/>
          <w:tab w:val="clear" w:pos="720"/>
          <w:tab w:val="clear" w:pos="1080"/>
        </w:tabs>
        <w:outlineLvl w:val="2"/>
        <w:rPr>
          <w:lang w:val="en-US" w:eastAsia="en-US" w:bidi="ar-SA"/>
        </w:rPr>
      </w:pPr>
      <w:bookmarkStart w:id="96" w:name="_Toc65680422"/>
      <w:r w:rsidRPr="005A6CF1">
        <w:rPr>
          <w:lang w:val="en-US" w:eastAsia="en-US" w:bidi="ar-SA"/>
        </w:rPr>
        <w:t xml:space="preserve">Bing Maps </w:t>
      </w:r>
      <w:proofErr w:type="spellStart"/>
      <w:r w:rsidRPr="005A6CF1">
        <w:rPr>
          <w:lang w:val="en-US" w:eastAsia="en-US" w:bidi="ar-SA"/>
        </w:rPr>
        <w:t>Plateforme</w:t>
      </w:r>
      <w:proofErr w:type="spellEnd"/>
      <w:r w:rsidRPr="005A6CF1">
        <w:rPr>
          <w:lang w:val="en-US" w:eastAsia="en-US" w:bidi="ar-SA"/>
        </w:rPr>
        <w:t xml:space="preserve"> </w:t>
      </w:r>
      <w:proofErr w:type="spellStart"/>
      <w:r w:rsidRPr="005A6CF1">
        <w:rPr>
          <w:lang w:val="en-US" w:eastAsia="en-US" w:bidi="ar-SA"/>
        </w:rPr>
        <w:t>Entreprise</w:t>
      </w:r>
      <w:bookmarkEnd w:id="96"/>
      <w:proofErr w:type="spellEnd"/>
    </w:p>
    <w:p w14:paraId="6227B95F" w14:textId="316D1408" w:rsidR="00515EF4" w:rsidRPr="00FB368F" w:rsidRDefault="003A16EB" w:rsidP="00B6224B">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3053A3">
        <w:t> </w:t>
      </w:r>
      <w:r>
        <w:t xml:space="preserve">condition que vous accédiez au Service via les méthodes d’accès, d’authentification et de contrôle présentées dans les kits de développement logiciel (SDK) Bing </w:t>
      </w:r>
      <w:proofErr w:type="spellStart"/>
      <w:r>
        <w:t>Maps</w:t>
      </w:r>
      <w:proofErr w:type="spellEnd"/>
      <w:r>
        <w:t xml:space="preserve"> Platform.</w:t>
      </w:r>
    </w:p>
    <w:p w14:paraId="683C27DC" w14:textId="77777777" w:rsidR="00515EF4" w:rsidRPr="00FB368F" w:rsidRDefault="00515EF4" w:rsidP="00B6224B">
      <w:pPr>
        <w:pStyle w:val="ProductList-Body"/>
      </w:pPr>
    </w:p>
    <w:p w14:paraId="332EF34F" w14:textId="5E6BEE02" w:rsidR="003A16EB" w:rsidRPr="00FB368F" w:rsidRDefault="00515EF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50953C7" w14:textId="77777777" w:rsidR="00515EF4" w:rsidRPr="00FB368F" w:rsidRDefault="00515EF4" w:rsidP="00B6224B">
      <w:pPr>
        <w:pStyle w:val="ProductList-Body"/>
      </w:pPr>
    </w:p>
    <w:p w14:paraId="44E374EC" w14:textId="32F4829A" w:rsidR="00515EF4" w:rsidRPr="002928A2" w:rsidRDefault="00065349"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B6224B">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B6224B">
      <w:pPr>
        <w:pStyle w:val="ProductList-Body"/>
      </w:pPr>
    </w:p>
    <w:p w14:paraId="26174FF9"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072DD82D" w14:textId="77777777" w:rsidTr="00183F48">
        <w:trPr>
          <w:tblHeader/>
        </w:trPr>
        <w:tc>
          <w:tcPr>
            <w:tcW w:w="5400" w:type="dxa"/>
            <w:shd w:val="clear" w:color="auto" w:fill="0072C6"/>
          </w:tcPr>
          <w:p w14:paraId="6763C431"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3FB6EA7D" w14:textId="77777777" w:rsidTr="00183F48">
        <w:tc>
          <w:tcPr>
            <w:tcW w:w="5400" w:type="dxa"/>
          </w:tcPr>
          <w:p w14:paraId="04CAFA50" w14:textId="61E959DE" w:rsidR="00515EF4" w:rsidRPr="0076238C" w:rsidRDefault="00515EF4" w:rsidP="00B6224B">
            <w:pPr>
              <w:pStyle w:val="ProductList-OfferingBody"/>
              <w:jc w:val="center"/>
            </w:pPr>
            <w:r>
              <w:t>&lt; 99,9 %</w:t>
            </w:r>
          </w:p>
        </w:tc>
        <w:tc>
          <w:tcPr>
            <w:tcW w:w="5400" w:type="dxa"/>
          </w:tcPr>
          <w:p w14:paraId="79F178DF" w14:textId="17CFE578" w:rsidR="00515EF4" w:rsidRPr="0076238C" w:rsidRDefault="00515EF4" w:rsidP="00B6224B">
            <w:pPr>
              <w:pStyle w:val="ProductList-OfferingBody"/>
              <w:jc w:val="center"/>
            </w:pPr>
            <w:r>
              <w:t>25</w:t>
            </w:r>
            <w:r w:rsidR="004D6D3D">
              <w:t xml:space="preserve"> </w:t>
            </w:r>
            <w:r>
              <w:t>%</w:t>
            </w:r>
          </w:p>
        </w:tc>
      </w:tr>
      <w:tr w:rsidR="00515EF4" w:rsidRPr="002928A2" w14:paraId="777F4AA6" w14:textId="77777777" w:rsidTr="00183F48">
        <w:tc>
          <w:tcPr>
            <w:tcW w:w="5400" w:type="dxa"/>
          </w:tcPr>
          <w:p w14:paraId="674E9167" w14:textId="50297AE8" w:rsidR="00515EF4" w:rsidRPr="0076238C" w:rsidRDefault="00515EF4" w:rsidP="00B6224B">
            <w:pPr>
              <w:pStyle w:val="ProductList-OfferingBody"/>
              <w:jc w:val="center"/>
            </w:pPr>
            <w:r>
              <w:t>&lt; 99 %</w:t>
            </w:r>
          </w:p>
        </w:tc>
        <w:tc>
          <w:tcPr>
            <w:tcW w:w="5400" w:type="dxa"/>
          </w:tcPr>
          <w:p w14:paraId="4C2D0E02" w14:textId="1DA2E2EB" w:rsidR="00515EF4" w:rsidRPr="0076238C" w:rsidRDefault="00515EF4" w:rsidP="00B6224B">
            <w:pPr>
              <w:pStyle w:val="ProductList-OfferingBody"/>
              <w:jc w:val="center"/>
            </w:pPr>
            <w:r>
              <w:t>50</w:t>
            </w:r>
            <w:r w:rsidR="004D6D3D">
              <w:t xml:space="preserve"> </w:t>
            </w:r>
            <w:r>
              <w:t>%</w:t>
            </w:r>
          </w:p>
        </w:tc>
      </w:tr>
      <w:tr w:rsidR="00515EF4" w:rsidRPr="002928A2" w14:paraId="4EB982B3" w14:textId="77777777" w:rsidTr="00183F48">
        <w:tc>
          <w:tcPr>
            <w:tcW w:w="5400" w:type="dxa"/>
          </w:tcPr>
          <w:p w14:paraId="1CE067A9" w14:textId="625CE747" w:rsidR="00515EF4" w:rsidRPr="0076238C" w:rsidRDefault="00515EF4" w:rsidP="00B6224B">
            <w:pPr>
              <w:pStyle w:val="ProductList-OfferingBody"/>
              <w:jc w:val="center"/>
            </w:pPr>
            <w:r>
              <w:t>&lt; 95 %</w:t>
            </w:r>
          </w:p>
        </w:tc>
        <w:tc>
          <w:tcPr>
            <w:tcW w:w="5400" w:type="dxa"/>
          </w:tcPr>
          <w:p w14:paraId="67F575EA" w14:textId="0CE81F4D" w:rsidR="00515EF4" w:rsidRDefault="00515EF4" w:rsidP="00B6224B">
            <w:pPr>
              <w:pStyle w:val="ProductList-OfferingBody"/>
              <w:jc w:val="center"/>
            </w:pPr>
            <w:r>
              <w:t>100</w:t>
            </w:r>
            <w:r w:rsidR="004D6D3D">
              <w:t xml:space="preserve"> </w:t>
            </w:r>
            <w:r>
              <w:t>%</w:t>
            </w:r>
          </w:p>
        </w:tc>
      </w:tr>
    </w:tbl>
    <w:p w14:paraId="66593B86" w14:textId="77777777" w:rsidR="001E0407" w:rsidRPr="00FB368F" w:rsidRDefault="001E0407" w:rsidP="00B6224B">
      <w:pPr>
        <w:pStyle w:val="ProductList-Body"/>
      </w:pPr>
    </w:p>
    <w:p w14:paraId="087D7891" w14:textId="482BFF63" w:rsidR="00515EF4" w:rsidRPr="00FB368F" w:rsidRDefault="00515EF4" w:rsidP="00B6224B">
      <w:pPr>
        <w:pStyle w:val="ProductList-Body"/>
      </w:pPr>
      <w:r>
        <w:rPr>
          <w:b/>
          <w:color w:val="00188F"/>
        </w:rPr>
        <w:t>Exceptions de Niveau de Service</w:t>
      </w:r>
      <w:r>
        <w:t> </w:t>
      </w:r>
      <w:r w:rsidRPr="006E70DE">
        <w:t>:</w:t>
      </w:r>
      <w:r>
        <w:t xml:space="preserve"> le présent SLA ne s’applique pas à l’achat de Bing </w:t>
      </w:r>
      <w:proofErr w:type="spellStart"/>
      <w:r>
        <w:t>Maps</w:t>
      </w:r>
      <w:proofErr w:type="spellEnd"/>
      <w:r>
        <w:t xml:space="preserve"> Enterprise Platform dans le cadre des contrats de licence en volume Open Value ou Open Value Souscription.</w:t>
      </w:r>
    </w:p>
    <w:p w14:paraId="084D7DBE" w14:textId="21244947" w:rsidR="001E0407" w:rsidRPr="00FB368F" w:rsidRDefault="00515EF4" w:rsidP="00B6224B">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w:t>
      </w:r>
      <w:proofErr w:type="spellStart"/>
      <w:r>
        <w:t>Maps</w:t>
      </w:r>
      <w:proofErr w:type="spellEnd"/>
      <w:r>
        <w:t xml:space="preserve"> Platform ; et (ii) vous ne notifiez pas Microsoft quatre-vingt-dix (90) jours au moins avant une </w:t>
      </w:r>
      <w:r>
        <w:lastRenderedPageBreak/>
        <w:t>augmentation significative connue du volume d’utilisation, en sachant que cette augmentation est définie comme représentant 50 % ou plus du</w:t>
      </w:r>
      <w:r w:rsidR="00F30A8D">
        <w:t> </w:t>
      </w:r>
      <w:r>
        <w:t xml:space="preserve">volume d’utilisation du mois précédent. </w:t>
      </w:r>
    </w:p>
    <w:bookmarkStart w:id="97" w:name="_Toc413421605"/>
    <w:p w14:paraId="5C4EF9BB"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0B993D" w14:textId="77777777" w:rsidR="00FD7891" w:rsidRPr="008E64FF" w:rsidRDefault="00FD7891" w:rsidP="00B6224B">
      <w:pPr>
        <w:pStyle w:val="ProductList-Offering2Heading"/>
        <w:rPr>
          <w:lang w:eastAsia="en-US" w:bidi="ar-SA"/>
        </w:rPr>
      </w:pPr>
      <w:bookmarkStart w:id="98" w:name="_Toc65680423"/>
      <w:r w:rsidRPr="008E64FF">
        <w:rPr>
          <w:lang w:eastAsia="en-US" w:bidi="ar-SA"/>
        </w:rPr>
        <w:t xml:space="preserve">Bing </w:t>
      </w:r>
      <w:proofErr w:type="spellStart"/>
      <w:r w:rsidRPr="008E64FF">
        <w:rPr>
          <w:lang w:eastAsia="en-US" w:bidi="ar-SA"/>
        </w:rPr>
        <w:t>Maps</w:t>
      </w:r>
      <w:proofErr w:type="spellEnd"/>
      <w:r w:rsidRPr="008E64FF">
        <w:rPr>
          <w:lang w:eastAsia="en-US" w:bidi="ar-SA"/>
        </w:rPr>
        <w:t xml:space="preserve"> Gestion des ressources mobiles</w:t>
      </w:r>
      <w:bookmarkEnd w:id="97"/>
      <w:bookmarkEnd w:id="98"/>
    </w:p>
    <w:p w14:paraId="65029C5D" w14:textId="61F4B0B3" w:rsidR="00FD7891" w:rsidRPr="00FB368F" w:rsidRDefault="00FD7891" w:rsidP="00B6224B">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EE5BE4">
        <w:t> </w:t>
      </w:r>
      <w:r>
        <w:t xml:space="preserve">condition que vous accédiez au Service via les méthodes d’accès, d’authentification et de contrôle présentées dans les kits de développement logiciel (SDK) Bing </w:t>
      </w:r>
      <w:proofErr w:type="spellStart"/>
      <w:r>
        <w:t>Maps</w:t>
      </w:r>
      <w:proofErr w:type="spellEnd"/>
      <w:r>
        <w:t xml:space="preserve"> Platform.</w:t>
      </w:r>
    </w:p>
    <w:p w14:paraId="30358882" w14:textId="77777777" w:rsidR="00FD7891" w:rsidRPr="00FB368F" w:rsidRDefault="00FD7891" w:rsidP="00B6224B">
      <w:pPr>
        <w:pStyle w:val="ProductList-Body"/>
      </w:pPr>
    </w:p>
    <w:p w14:paraId="10C2AC36" w14:textId="11714030" w:rsidR="00FD7891" w:rsidRPr="00FB368F" w:rsidRDefault="00FD7891" w:rsidP="0084633F">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75543F3" w14:textId="77777777" w:rsidR="00FD7891" w:rsidRPr="00FB368F" w:rsidRDefault="00FD7891" w:rsidP="00B6224B">
      <w:pPr>
        <w:pStyle w:val="ProductList-Body"/>
      </w:pPr>
    </w:p>
    <w:p w14:paraId="3D1C7AD3" w14:textId="57F211C7" w:rsidR="00FD7891" w:rsidRPr="002928A2" w:rsidRDefault="00065349"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B6224B">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84633F" w:rsidRDefault="00FD7891" w:rsidP="00B6224B">
      <w:pPr>
        <w:pStyle w:val="ProductList-Body"/>
        <w:rPr>
          <w:szCs w:val="18"/>
        </w:rPr>
      </w:pPr>
    </w:p>
    <w:p w14:paraId="152AABCC" w14:textId="77777777" w:rsidR="00FD7891" w:rsidRPr="00FB368F" w:rsidRDefault="00FD7891" w:rsidP="004732E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2928A2" w14:paraId="284D0B9B" w14:textId="77777777" w:rsidTr="00183F48">
        <w:trPr>
          <w:tblHeader/>
        </w:trPr>
        <w:tc>
          <w:tcPr>
            <w:tcW w:w="5400" w:type="dxa"/>
            <w:shd w:val="clear" w:color="auto" w:fill="0072C6"/>
          </w:tcPr>
          <w:p w14:paraId="210D6C28" w14:textId="77777777" w:rsidR="00FD7891" w:rsidRPr="001A0074" w:rsidRDefault="00FD789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B6224B">
            <w:pPr>
              <w:pStyle w:val="ProductList-OfferingBody"/>
              <w:jc w:val="center"/>
              <w:rPr>
                <w:color w:val="FFFFFF" w:themeColor="background1"/>
              </w:rPr>
            </w:pPr>
            <w:r>
              <w:rPr>
                <w:color w:val="FFFFFF" w:themeColor="background1"/>
              </w:rPr>
              <w:t>Avoir Service</w:t>
            </w:r>
          </w:p>
        </w:tc>
      </w:tr>
      <w:tr w:rsidR="00FD7891" w:rsidRPr="002928A2" w14:paraId="50ECA16C" w14:textId="77777777" w:rsidTr="00183F48">
        <w:tc>
          <w:tcPr>
            <w:tcW w:w="5400" w:type="dxa"/>
          </w:tcPr>
          <w:p w14:paraId="2EC30703" w14:textId="77777777" w:rsidR="00FD7891" w:rsidRPr="0076238C" w:rsidRDefault="00FD7891" w:rsidP="00B6224B">
            <w:pPr>
              <w:pStyle w:val="ProductList-OfferingBody"/>
              <w:jc w:val="center"/>
            </w:pPr>
            <w:r>
              <w:t>&lt; 99,9 %</w:t>
            </w:r>
          </w:p>
        </w:tc>
        <w:tc>
          <w:tcPr>
            <w:tcW w:w="5400" w:type="dxa"/>
          </w:tcPr>
          <w:p w14:paraId="0AF0BF6E" w14:textId="032BAA6F" w:rsidR="00FD7891" w:rsidRPr="0076238C" w:rsidRDefault="00FD7891" w:rsidP="00B6224B">
            <w:pPr>
              <w:pStyle w:val="ProductList-OfferingBody"/>
              <w:jc w:val="center"/>
            </w:pPr>
            <w:r>
              <w:t>25</w:t>
            </w:r>
            <w:r w:rsidR="00EE5BE4">
              <w:t xml:space="preserve"> </w:t>
            </w:r>
            <w:r>
              <w:t>%</w:t>
            </w:r>
          </w:p>
        </w:tc>
      </w:tr>
      <w:tr w:rsidR="00FD7891" w:rsidRPr="002928A2" w14:paraId="43224057" w14:textId="77777777" w:rsidTr="00183F48">
        <w:tc>
          <w:tcPr>
            <w:tcW w:w="5400" w:type="dxa"/>
          </w:tcPr>
          <w:p w14:paraId="20F98A7F" w14:textId="77777777" w:rsidR="00FD7891" w:rsidRPr="0076238C" w:rsidRDefault="00FD7891" w:rsidP="00B6224B">
            <w:pPr>
              <w:pStyle w:val="ProductList-OfferingBody"/>
              <w:jc w:val="center"/>
            </w:pPr>
            <w:r>
              <w:t>&lt; 99 %</w:t>
            </w:r>
          </w:p>
        </w:tc>
        <w:tc>
          <w:tcPr>
            <w:tcW w:w="5400" w:type="dxa"/>
          </w:tcPr>
          <w:p w14:paraId="2042F0F2" w14:textId="3D361660" w:rsidR="00FD7891" w:rsidRPr="0076238C" w:rsidRDefault="00FD7891" w:rsidP="00B6224B">
            <w:pPr>
              <w:pStyle w:val="ProductList-OfferingBody"/>
              <w:jc w:val="center"/>
            </w:pPr>
            <w:r>
              <w:t>50</w:t>
            </w:r>
            <w:r w:rsidR="00EE5BE4">
              <w:t xml:space="preserve"> </w:t>
            </w:r>
            <w:r>
              <w:t>%</w:t>
            </w:r>
          </w:p>
        </w:tc>
      </w:tr>
      <w:tr w:rsidR="00FD7891" w:rsidRPr="002928A2" w14:paraId="464E7413" w14:textId="77777777" w:rsidTr="00183F48">
        <w:tc>
          <w:tcPr>
            <w:tcW w:w="5400" w:type="dxa"/>
          </w:tcPr>
          <w:p w14:paraId="140B2DF0" w14:textId="77777777" w:rsidR="00FD7891" w:rsidRPr="0076238C" w:rsidRDefault="00FD7891" w:rsidP="00B6224B">
            <w:pPr>
              <w:pStyle w:val="ProductList-OfferingBody"/>
              <w:jc w:val="center"/>
            </w:pPr>
            <w:r>
              <w:t>&lt; 95 %</w:t>
            </w:r>
          </w:p>
        </w:tc>
        <w:tc>
          <w:tcPr>
            <w:tcW w:w="5400" w:type="dxa"/>
          </w:tcPr>
          <w:p w14:paraId="0BEE0BFC" w14:textId="5F05479A" w:rsidR="00FD7891" w:rsidRDefault="00FD7891" w:rsidP="00B6224B">
            <w:pPr>
              <w:pStyle w:val="ProductList-OfferingBody"/>
              <w:jc w:val="center"/>
            </w:pPr>
            <w:r>
              <w:t>100</w:t>
            </w:r>
            <w:r w:rsidR="00EE5BE4">
              <w:t xml:space="preserve"> </w:t>
            </w:r>
            <w:r>
              <w:t>%</w:t>
            </w:r>
          </w:p>
        </w:tc>
      </w:tr>
    </w:tbl>
    <w:p w14:paraId="4AC7D937" w14:textId="77777777" w:rsidR="00FD7891" w:rsidRPr="0084633F" w:rsidRDefault="00FD7891" w:rsidP="00B6224B">
      <w:pPr>
        <w:pStyle w:val="ProductList-Body"/>
        <w:rPr>
          <w:szCs w:val="18"/>
        </w:rPr>
      </w:pPr>
    </w:p>
    <w:p w14:paraId="6FE4E46D" w14:textId="735BB774" w:rsidR="00FD7891" w:rsidRPr="00FB368F" w:rsidRDefault="00FD7891" w:rsidP="00B6224B">
      <w:pPr>
        <w:pStyle w:val="ProductList-Body"/>
      </w:pPr>
      <w:r>
        <w:rPr>
          <w:b/>
          <w:color w:val="00188F"/>
        </w:rPr>
        <w:t>Exceptions de Niveau de Service</w:t>
      </w:r>
      <w:r>
        <w:t> </w:t>
      </w:r>
      <w:r w:rsidRPr="006E70DE">
        <w:t>:</w:t>
      </w:r>
      <w:r>
        <w:t xml:space="preserve"> le présent SLA ne s’applique pas à l’achat de Bing </w:t>
      </w:r>
      <w:proofErr w:type="spellStart"/>
      <w:r>
        <w:t>Maps</w:t>
      </w:r>
      <w:proofErr w:type="spellEnd"/>
      <w:r>
        <w:t xml:space="preserve"> Enterprise Platform dans le cadre des contrats de licence en volume Open Value ou Open Value Souscription.</w:t>
      </w:r>
    </w:p>
    <w:p w14:paraId="3B1C1472" w14:textId="77777777" w:rsidR="00FD7891" w:rsidRPr="0084633F" w:rsidRDefault="00FD7891" w:rsidP="00B6224B">
      <w:pPr>
        <w:pStyle w:val="ProductList-Body"/>
        <w:rPr>
          <w:szCs w:val="18"/>
        </w:rPr>
      </w:pPr>
    </w:p>
    <w:p w14:paraId="3F493427" w14:textId="47B0E307" w:rsidR="00FD7891" w:rsidRPr="00FB368F" w:rsidRDefault="00FD7891" w:rsidP="00E606A9">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w:t>
      </w:r>
      <w:proofErr w:type="spellStart"/>
      <w:r>
        <w:t>Maps</w:t>
      </w:r>
      <w:proofErr w:type="spellEnd"/>
      <w:r>
        <w:t xml:space="preserve"> Platform ; et (ii) vous ne notifiez pas Microsoft quatre-vingt-dix (90) jours au moins avant une augmentation significative connue du volume d’utilisation, en sachant que cette augmentation est définie comme représentant 50 % ou plus du volume d’utilisation du mois précédent.</w:t>
      </w:r>
    </w:p>
    <w:bookmarkStart w:id="99" w:name="CloudAppSecurity"/>
    <w:bookmarkStart w:id="100" w:name="_Toc461003310"/>
    <w:bookmarkStart w:id="101" w:name="_Toc463347210"/>
    <w:bookmarkStart w:id="102" w:name="Intune"/>
    <w:bookmarkStart w:id="103" w:name="_Toc461003318"/>
    <w:bookmarkStart w:id="104" w:name="_Toc457812889"/>
    <w:bookmarkStart w:id="105" w:name="_Toc454545924"/>
    <w:p w14:paraId="5CCF53C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ADB6F9C" w14:textId="77777777" w:rsidR="00013400" w:rsidRPr="00A94906" w:rsidRDefault="00013400" w:rsidP="00B6224B">
      <w:pPr>
        <w:pStyle w:val="ProductList-Offering2Heading"/>
        <w:outlineLvl w:val="2"/>
      </w:pPr>
      <w:bookmarkStart w:id="106" w:name="_Toc65680424"/>
      <w:r>
        <w:t>Application de sécurité de Microsoft Cloud</w:t>
      </w:r>
      <w:bookmarkEnd w:id="99"/>
      <w:bookmarkEnd w:id="100"/>
      <w:bookmarkEnd w:id="106"/>
    </w:p>
    <w:p w14:paraId="6F5575C2" w14:textId="77777777" w:rsidR="00013400" w:rsidRPr="00A94906" w:rsidRDefault="00013400" w:rsidP="00B6224B">
      <w:pPr>
        <w:pStyle w:val="ProductList-Body"/>
      </w:pPr>
      <w:r>
        <w:rPr>
          <w:b/>
          <w:color w:val="00188F"/>
        </w:rPr>
        <w:t>Temps d’Indisponibilité</w:t>
      </w:r>
      <w:r>
        <w:t> </w:t>
      </w:r>
      <w:r w:rsidRPr="006E70DE">
        <w:rPr>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B6224B">
      <w:pPr>
        <w:pStyle w:val="ProductList-Body"/>
        <w:spacing w:after="40"/>
      </w:pPr>
    </w:p>
    <w:p w14:paraId="00064078" w14:textId="77777777" w:rsidR="00013400" w:rsidRDefault="0001340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AE3E6C2" w14:textId="77777777" w:rsidR="00013400" w:rsidRDefault="00013400" w:rsidP="00B6224B">
      <w:pPr>
        <w:pStyle w:val="ProductList-Body"/>
      </w:pPr>
    </w:p>
    <w:p w14:paraId="64184591" w14:textId="77777777" w:rsidR="00013400" w:rsidRPr="00A94906" w:rsidRDefault="00065349" w:rsidP="00B6224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231AFCD" w14:textId="77777777" w:rsidR="00013400" w:rsidRPr="00A94906" w:rsidRDefault="0001340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B6224B">
      <w:pPr>
        <w:pStyle w:val="ProductList-Body"/>
      </w:pPr>
    </w:p>
    <w:p w14:paraId="76BD830A" w14:textId="77777777" w:rsidR="00013400" w:rsidRPr="00A94906" w:rsidRDefault="00013400" w:rsidP="00B6224B">
      <w:pPr>
        <w:pStyle w:val="ProductList-Body"/>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rsidRPr="002928A2" w14:paraId="7DC24945" w14:textId="77777777" w:rsidTr="00270697">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B6224B">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B6224B">
            <w:pPr>
              <w:pStyle w:val="ProductList-OfferingBody"/>
              <w:spacing w:line="252" w:lineRule="auto"/>
              <w:jc w:val="center"/>
              <w:rPr>
                <w:color w:val="FFFFFF"/>
              </w:rPr>
            </w:pPr>
            <w:r>
              <w:rPr>
                <w:color w:val="FFFFFF"/>
              </w:rPr>
              <w:t>Avoir Service</w:t>
            </w:r>
          </w:p>
        </w:tc>
      </w:tr>
      <w:tr w:rsidR="00013400" w:rsidRPr="002928A2" w14:paraId="0369389E" w14:textId="77777777" w:rsidTr="00270697">
        <w:tc>
          <w:tcPr>
            <w:tcW w:w="5400" w:type="dxa"/>
            <w:tcMar>
              <w:top w:w="0" w:type="dxa"/>
              <w:left w:w="108" w:type="dxa"/>
              <w:bottom w:w="0" w:type="dxa"/>
              <w:right w:w="108" w:type="dxa"/>
            </w:tcMar>
            <w:hideMark/>
          </w:tcPr>
          <w:p w14:paraId="2181E6C3" w14:textId="77777777" w:rsidR="00013400" w:rsidRDefault="00013400" w:rsidP="00B6224B">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B6224B">
            <w:pPr>
              <w:pStyle w:val="ProductList-OfferingBody"/>
              <w:spacing w:line="252" w:lineRule="auto"/>
              <w:jc w:val="center"/>
            </w:pPr>
            <w:r>
              <w:t>10 %</w:t>
            </w:r>
          </w:p>
        </w:tc>
      </w:tr>
      <w:tr w:rsidR="00013400" w:rsidRPr="002928A2" w14:paraId="1ACAFB28" w14:textId="77777777" w:rsidTr="00270697">
        <w:tc>
          <w:tcPr>
            <w:tcW w:w="5400" w:type="dxa"/>
            <w:tcMar>
              <w:top w:w="0" w:type="dxa"/>
              <w:left w:w="108" w:type="dxa"/>
              <w:bottom w:w="0" w:type="dxa"/>
              <w:right w:w="108" w:type="dxa"/>
            </w:tcMar>
            <w:hideMark/>
          </w:tcPr>
          <w:p w14:paraId="76ADB739" w14:textId="77777777" w:rsidR="00013400" w:rsidRDefault="00013400" w:rsidP="00B6224B">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B6224B">
            <w:pPr>
              <w:pStyle w:val="ProductList-OfferingBody"/>
              <w:spacing w:line="252" w:lineRule="auto"/>
              <w:jc w:val="center"/>
            </w:pPr>
            <w:r>
              <w:t>25 %</w:t>
            </w:r>
          </w:p>
        </w:tc>
      </w:tr>
    </w:tbl>
    <w:p w14:paraId="7811F383" w14:textId="77777777" w:rsidR="00013400" w:rsidRPr="00A94906" w:rsidRDefault="00013400" w:rsidP="00B6224B">
      <w:pPr>
        <w:pStyle w:val="ProductList-Body"/>
        <w:spacing w:after="40"/>
      </w:pPr>
    </w:p>
    <w:p w14:paraId="63B7E6F4" w14:textId="77777777" w:rsidR="00013400" w:rsidRPr="00A94906" w:rsidRDefault="00013400" w:rsidP="00B6224B">
      <w:pPr>
        <w:pStyle w:val="ProductList-Body"/>
        <w:spacing w:after="40"/>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18CEA349" w14:textId="77777777" w:rsidR="009C340C" w:rsidRPr="00FB368F" w:rsidRDefault="00065349"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6BFA1F2" w14:textId="1E4F00B3" w:rsidR="003D3190" w:rsidRPr="00C84C65" w:rsidRDefault="003D3190" w:rsidP="00B6224B">
      <w:pPr>
        <w:pStyle w:val="ProductList-Offering2Heading"/>
        <w:tabs>
          <w:tab w:val="clear" w:pos="360"/>
          <w:tab w:val="clear" w:pos="720"/>
          <w:tab w:val="clear" w:pos="1080"/>
        </w:tabs>
        <w:outlineLvl w:val="2"/>
      </w:pPr>
      <w:bookmarkStart w:id="107" w:name="_Toc65680425"/>
      <w:r>
        <w:lastRenderedPageBreak/>
        <w:t xml:space="preserve">Microsoft </w:t>
      </w:r>
      <w:bookmarkEnd w:id="101"/>
      <w:r w:rsidR="00B6224B">
        <w:t>Power Automate</w:t>
      </w:r>
      <w:bookmarkEnd w:id="107"/>
    </w:p>
    <w:p w14:paraId="00B474B2" w14:textId="77777777" w:rsidR="003D3190" w:rsidRPr="00C84C65" w:rsidRDefault="003D3190" w:rsidP="00B6224B">
      <w:pPr>
        <w:pStyle w:val="ProductList-Body"/>
      </w:pPr>
      <w:r>
        <w:rPr>
          <w:b/>
          <w:color w:val="00188F"/>
        </w:rPr>
        <w:t>Temps d’Indisponibilité</w:t>
      </w:r>
      <w:r>
        <w:t> </w:t>
      </w:r>
      <w:r w:rsidRPr="006E70DE">
        <w:rPr>
          <w:bCs/>
        </w:rPr>
        <w:t>:</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B6224B">
      <w:pPr>
        <w:pStyle w:val="ProductList-Body"/>
      </w:pPr>
    </w:p>
    <w:p w14:paraId="21276AF5" w14:textId="77777777" w:rsidR="003D3190" w:rsidRPr="00C84C65" w:rsidRDefault="003D3190" w:rsidP="00B6224B">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003EEDDF" w14:textId="77777777" w:rsidR="003D3190" w:rsidRPr="00C84C65" w:rsidRDefault="003D3190" w:rsidP="00B6224B">
      <w:pPr>
        <w:pStyle w:val="ProductList-Body"/>
      </w:pPr>
    </w:p>
    <w:p w14:paraId="093829F7" w14:textId="77777777" w:rsidR="003D3190" w:rsidRPr="002928A2" w:rsidRDefault="00065349"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B6224B">
      <w:pPr>
        <w:pStyle w:val="ProductList-Body"/>
      </w:pPr>
    </w:p>
    <w:p w14:paraId="767FF7A2" w14:textId="77777777" w:rsidR="003D3190" w:rsidRPr="00C84C65" w:rsidRDefault="003D319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4F6F5D65" w14:textId="77777777" w:rsidTr="007B4942">
        <w:trPr>
          <w:tblHeader/>
        </w:trPr>
        <w:tc>
          <w:tcPr>
            <w:tcW w:w="5400" w:type="dxa"/>
            <w:shd w:val="clear" w:color="auto" w:fill="0072C6"/>
          </w:tcPr>
          <w:p w14:paraId="264C0667" w14:textId="77777777" w:rsidR="003D3190" w:rsidRPr="001A0074" w:rsidRDefault="003D31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048C2410" w14:textId="77777777" w:rsidTr="007B4942">
        <w:tc>
          <w:tcPr>
            <w:tcW w:w="5400" w:type="dxa"/>
          </w:tcPr>
          <w:p w14:paraId="7E5ECB85" w14:textId="77777777" w:rsidR="003D3190" w:rsidRPr="0076238C" w:rsidRDefault="003D3190" w:rsidP="00B6224B">
            <w:pPr>
              <w:pStyle w:val="ProductList-OfferingBody"/>
              <w:jc w:val="center"/>
            </w:pPr>
            <w:r>
              <w:t>&lt; 99,9 %</w:t>
            </w:r>
          </w:p>
        </w:tc>
        <w:tc>
          <w:tcPr>
            <w:tcW w:w="5400" w:type="dxa"/>
          </w:tcPr>
          <w:p w14:paraId="15B2B9BC" w14:textId="77777777" w:rsidR="003D3190" w:rsidRPr="0076238C" w:rsidRDefault="003D3190" w:rsidP="00B6224B">
            <w:pPr>
              <w:pStyle w:val="ProductList-OfferingBody"/>
              <w:jc w:val="center"/>
            </w:pPr>
            <w:r>
              <w:t>25 %</w:t>
            </w:r>
          </w:p>
        </w:tc>
      </w:tr>
      <w:tr w:rsidR="003D3190" w:rsidRPr="002928A2" w14:paraId="65263CD4" w14:textId="77777777" w:rsidTr="007B4942">
        <w:tc>
          <w:tcPr>
            <w:tcW w:w="5400" w:type="dxa"/>
          </w:tcPr>
          <w:p w14:paraId="0F502739" w14:textId="77777777" w:rsidR="003D3190" w:rsidRPr="0076238C" w:rsidRDefault="003D3190" w:rsidP="00B6224B">
            <w:pPr>
              <w:pStyle w:val="ProductList-OfferingBody"/>
              <w:jc w:val="center"/>
            </w:pPr>
            <w:r>
              <w:t>&lt; 99 %</w:t>
            </w:r>
          </w:p>
        </w:tc>
        <w:tc>
          <w:tcPr>
            <w:tcW w:w="5400" w:type="dxa"/>
          </w:tcPr>
          <w:p w14:paraId="10FD6C09" w14:textId="77777777" w:rsidR="003D3190" w:rsidRPr="0076238C" w:rsidRDefault="003D3190" w:rsidP="00B6224B">
            <w:pPr>
              <w:pStyle w:val="ProductList-OfferingBody"/>
              <w:jc w:val="center"/>
            </w:pPr>
            <w:r>
              <w:t>50 %</w:t>
            </w:r>
          </w:p>
        </w:tc>
      </w:tr>
      <w:tr w:rsidR="003D3190" w:rsidRPr="002928A2" w14:paraId="15C90F18" w14:textId="77777777" w:rsidTr="007B4942">
        <w:tc>
          <w:tcPr>
            <w:tcW w:w="5400" w:type="dxa"/>
          </w:tcPr>
          <w:p w14:paraId="06F88DA0" w14:textId="77777777" w:rsidR="003D3190" w:rsidRPr="0076238C" w:rsidRDefault="003D3190" w:rsidP="00B6224B">
            <w:pPr>
              <w:pStyle w:val="ProductList-OfferingBody"/>
              <w:jc w:val="center"/>
            </w:pPr>
            <w:r>
              <w:t>&lt; 95 %</w:t>
            </w:r>
          </w:p>
        </w:tc>
        <w:tc>
          <w:tcPr>
            <w:tcW w:w="5400" w:type="dxa"/>
          </w:tcPr>
          <w:p w14:paraId="085DE93A" w14:textId="77777777" w:rsidR="003D3190" w:rsidRPr="0076238C" w:rsidRDefault="003D3190" w:rsidP="00B6224B">
            <w:pPr>
              <w:pStyle w:val="ProductList-OfferingBody"/>
              <w:jc w:val="center"/>
            </w:pPr>
            <w:r>
              <w:t>100 %</w:t>
            </w:r>
          </w:p>
        </w:tc>
      </w:tr>
    </w:tbl>
    <w:p w14:paraId="5D54C7F6" w14:textId="77777777" w:rsidR="003D3190" w:rsidRPr="00C84C65" w:rsidRDefault="003D3190" w:rsidP="00B6224B">
      <w:pPr>
        <w:pStyle w:val="ProductList-Body"/>
      </w:pPr>
    </w:p>
    <w:p w14:paraId="188803B5" w14:textId="109AB585" w:rsidR="003D3190" w:rsidRPr="00C84C65" w:rsidRDefault="00B6224B" w:rsidP="00B6224B">
      <w:pPr>
        <w:pStyle w:val="ProductList-Body"/>
      </w:pPr>
      <w:r>
        <w:rPr>
          <w:b/>
          <w:color w:val="00188F"/>
        </w:rPr>
        <w:t>Exceptions de Niveau de Service</w:t>
      </w:r>
      <w:r>
        <w:t> </w:t>
      </w:r>
      <w:r w:rsidRPr="00300CFE">
        <w:rPr>
          <w:b/>
        </w:rPr>
        <w:t>:</w:t>
      </w:r>
      <w:r>
        <w:t xml:space="preserve"> Aucun contrat SLA n’est fourni pour l’édition gratuite de Microsoft Power Automate</w:t>
      </w:r>
      <w:r w:rsidR="003D3190">
        <w:t>.</w:t>
      </w:r>
    </w:p>
    <w:p w14:paraId="4A5AE9C1" w14:textId="77777777" w:rsidR="009C340C" w:rsidRPr="00FB368F" w:rsidRDefault="00065349"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7D1A7E" w14:textId="681EBF1D" w:rsidR="00BD240B" w:rsidRPr="00A94906" w:rsidRDefault="00BD240B" w:rsidP="007F033E">
      <w:pPr>
        <w:pStyle w:val="ProductList-Offering2Heading"/>
        <w:tabs>
          <w:tab w:val="clear" w:pos="360"/>
          <w:tab w:val="clear" w:pos="720"/>
          <w:tab w:val="clear" w:pos="1080"/>
        </w:tabs>
        <w:outlineLvl w:val="2"/>
      </w:pPr>
      <w:bookmarkStart w:id="108" w:name="_Toc65680426"/>
      <w:r>
        <w:t>Microsoft Intune</w:t>
      </w:r>
      <w:bookmarkEnd w:id="102"/>
      <w:bookmarkEnd w:id="103"/>
      <w:bookmarkEnd w:id="108"/>
    </w:p>
    <w:p w14:paraId="5A6DF2A5"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6224B">
      <w:pPr>
        <w:pStyle w:val="ProductList-Body"/>
      </w:pPr>
    </w:p>
    <w:p w14:paraId="44AEC9A8"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7B044F" w14:textId="77777777" w:rsidR="00BD240B" w:rsidRPr="00A94906" w:rsidRDefault="00BD240B" w:rsidP="00B6224B">
      <w:pPr>
        <w:pStyle w:val="ProductList-Body"/>
      </w:pPr>
    </w:p>
    <w:p w14:paraId="0A60E8C0" w14:textId="77777777" w:rsidR="00BD240B" w:rsidRPr="002928A2" w:rsidRDefault="00065349"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6224B">
      <w:pPr>
        <w:pStyle w:val="ProductList-Body"/>
      </w:pPr>
    </w:p>
    <w:p w14:paraId="3E33FCAD"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11A09B6" w14:textId="77777777" w:rsidTr="007B4942">
        <w:trPr>
          <w:tblHeader/>
        </w:trPr>
        <w:tc>
          <w:tcPr>
            <w:tcW w:w="5400" w:type="dxa"/>
            <w:shd w:val="clear" w:color="auto" w:fill="0072C6"/>
          </w:tcPr>
          <w:p w14:paraId="6B713F0E"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473CB27F" w14:textId="77777777" w:rsidTr="007B4942">
        <w:tc>
          <w:tcPr>
            <w:tcW w:w="5400" w:type="dxa"/>
          </w:tcPr>
          <w:p w14:paraId="7EF343FC" w14:textId="77777777" w:rsidR="00BD240B" w:rsidRPr="0076238C" w:rsidRDefault="00BD240B" w:rsidP="00B6224B">
            <w:pPr>
              <w:pStyle w:val="ProductList-OfferingBody"/>
              <w:jc w:val="center"/>
            </w:pPr>
            <w:r>
              <w:t>&lt; 99,9 %</w:t>
            </w:r>
          </w:p>
        </w:tc>
        <w:tc>
          <w:tcPr>
            <w:tcW w:w="5400" w:type="dxa"/>
          </w:tcPr>
          <w:p w14:paraId="55841594" w14:textId="77777777" w:rsidR="00BD240B" w:rsidRPr="0076238C" w:rsidRDefault="00BD240B" w:rsidP="00B6224B">
            <w:pPr>
              <w:pStyle w:val="ProductList-OfferingBody"/>
              <w:jc w:val="center"/>
            </w:pPr>
            <w:r>
              <w:t>25 %</w:t>
            </w:r>
          </w:p>
        </w:tc>
      </w:tr>
      <w:tr w:rsidR="00BD240B" w:rsidRPr="002928A2" w14:paraId="0D2FF979" w14:textId="77777777" w:rsidTr="007B4942">
        <w:tc>
          <w:tcPr>
            <w:tcW w:w="5400" w:type="dxa"/>
          </w:tcPr>
          <w:p w14:paraId="7E9882E8" w14:textId="77777777" w:rsidR="00BD240B" w:rsidRPr="0076238C" w:rsidRDefault="00BD240B" w:rsidP="00B6224B">
            <w:pPr>
              <w:pStyle w:val="ProductList-OfferingBody"/>
              <w:jc w:val="center"/>
            </w:pPr>
            <w:r>
              <w:t>&lt; 99 %</w:t>
            </w:r>
          </w:p>
        </w:tc>
        <w:tc>
          <w:tcPr>
            <w:tcW w:w="5400" w:type="dxa"/>
          </w:tcPr>
          <w:p w14:paraId="3BE2F724" w14:textId="77777777" w:rsidR="00BD240B" w:rsidRPr="0076238C" w:rsidRDefault="00BD240B" w:rsidP="00B6224B">
            <w:pPr>
              <w:pStyle w:val="ProductList-OfferingBody"/>
              <w:jc w:val="center"/>
            </w:pPr>
            <w:r>
              <w:t>50 %</w:t>
            </w:r>
          </w:p>
        </w:tc>
      </w:tr>
      <w:tr w:rsidR="00BD240B" w:rsidRPr="002928A2" w14:paraId="0043D3FA" w14:textId="77777777" w:rsidTr="007B4942">
        <w:tc>
          <w:tcPr>
            <w:tcW w:w="5400" w:type="dxa"/>
          </w:tcPr>
          <w:p w14:paraId="04823ED3" w14:textId="77777777" w:rsidR="00BD240B" w:rsidRPr="0076238C" w:rsidRDefault="00BD240B" w:rsidP="00B6224B">
            <w:pPr>
              <w:pStyle w:val="ProductList-OfferingBody"/>
              <w:jc w:val="center"/>
            </w:pPr>
            <w:r>
              <w:t>&lt; 95 %</w:t>
            </w:r>
          </w:p>
        </w:tc>
        <w:tc>
          <w:tcPr>
            <w:tcW w:w="5400" w:type="dxa"/>
          </w:tcPr>
          <w:p w14:paraId="13B0CA0B" w14:textId="77777777" w:rsidR="00BD240B" w:rsidRPr="0076238C" w:rsidRDefault="00BD240B" w:rsidP="00B6224B">
            <w:pPr>
              <w:pStyle w:val="ProductList-OfferingBody"/>
              <w:jc w:val="center"/>
            </w:pPr>
            <w:r>
              <w:t>100 %</w:t>
            </w:r>
          </w:p>
        </w:tc>
      </w:tr>
    </w:tbl>
    <w:p w14:paraId="4527D857" w14:textId="77777777" w:rsidR="00BD240B" w:rsidRPr="00A94906" w:rsidRDefault="00BD240B" w:rsidP="00B6224B">
      <w:pPr>
        <w:pStyle w:val="ProductList-Body"/>
      </w:pPr>
    </w:p>
    <w:p w14:paraId="24A35621" w14:textId="77777777" w:rsidR="00BD240B" w:rsidRPr="00A94906" w:rsidRDefault="00BD240B" w:rsidP="00B6224B">
      <w:pPr>
        <w:pStyle w:val="ProductList-Body"/>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du Service Microsoft Intune) fournissant des mises à jour à tout logiciel sur site concédé sous licence dans le cadre de l’abonnement au Service.</w:t>
      </w:r>
    </w:p>
    <w:bookmarkStart w:id="109" w:name="_Toc463347212"/>
    <w:p w14:paraId="1CC680D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06D67C" w14:textId="24906D2D" w:rsidR="006360A6" w:rsidRPr="00E82568" w:rsidRDefault="006360A6" w:rsidP="00B6224B">
      <w:pPr>
        <w:pStyle w:val="ProductList-Offering2Heading"/>
        <w:outlineLvl w:val="2"/>
      </w:pPr>
      <w:bookmarkStart w:id="110" w:name="_Toc65680427"/>
      <w:r>
        <w:t xml:space="preserve">Microsoft </w:t>
      </w:r>
      <w:proofErr w:type="spellStart"/>
      <w:r>
        <w:t>Kaizala</w:t>
      </w:r>
      <w:proofErr w:type="spellEnd"/>
      <w:r>
        <w:t xml:space="preserve"> Pro</w:t>
      </w:r>
      <w:bookmarkEnd w:id="110"/>
    </w:p>
    <w:p w14:paraId="615F1D00" w14:textId="4925BC93" w:rsidR="006360A6" w:rsidRPr="00E82568" w:rsidRDefault="00B77021" w:rsidP="00B6224B">
      <w:pPr>
        <w:pStyle w:val="ProductList-Body"/>
      </w:pPr>
      <w:r>
        <w:rPr>
          <w:b/>
          <w:color w:val="00188F"/>
        </w:rPr>
        <w:t>Temps d’Indisponibilité</w:t>
      </w:r>
      <w:r>
        <w:t> </w:t>
      </w:r>
      <w:r w:rsidRPr="008A5817">
        <w:rPr>
          <w:b/>
        </w:rPr>
        <w:t>:</w:t>
      </w:r>
      <w:r>
        <w:t xml:space="preserve"> Toute période au cours de laquelle les utilisateurs finaux sont dans l’impossibilité de lire ou de publier des messages dans les groupes d’organisations pour lesquels ils disposent des autorisations appropriées</w:t>
      </w:r>
      <w:r w:rsidR="006360A6">
        <w:t>.</w:t>
      </w:r>
    </w:p>
    <w:p w14:paraId="18E86D8E" w14:textId="77777777" w:rsidR="006360A6" w:rsidRPr="00E82568" w:rsidRDefault="006360A6" w:rsidP="00B6224B">
      <w:pPr>
        <w:pStyle w:val="ProductList-Body"/>
      </w:pPr>
    </w:p>
    <w:p w14:paraId="27BFB149" w14:textId="77777777" w:rsidR="006360A6" w:rsidRPr="00E82568" w:rsidRDefault="006360A6"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01090D" w14:textId="77777777" w:rsidR="006360A6" w:rsidRPr="00E82568" w:rsidRDefault="006360A6" w:rsidP="00B6224B">
      <w:pPr>
        <w:pStyle w:val="ProductList-Body"/>
      </w:pPr>
    </w:p>
    <w:p w14:paraId="42C4EECC" w14:textId="77777777" w:rsidR="006360A6" w:rsidRPr="002928A2" w:rsidRDefault="00065349"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809CEFF" w14:textId="77777777" w:rsidR="006360A6" w:rsidRPr="00E82568" w:rsidRDefault="006360A6" w:rsidP="00B6224B">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56C788" w14:textId="77777777" w:rsidR="006360A6" w:rsidRPr="00E82568" w:rsidRDefault="006360A6" w:rsidP="00B6224B">
      <w:pPr>
        <w:pStyle w:val="ProductList-Body"/>
      </w:pPr>
    </w:p>
    <w:p w14:paraId="5B317D67" w14:textId="77777777" w:rsidR="006360A6" w:rsidRPr="00E82568" w:rsidRDefault="006360A6"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63C61AE7" w14:textId="77777777" w:rsidTr="00A40F90">
        <w:trPr>
          <w:tblHeader/>
        </w:trPr>
        <w:tc>
          <w:tcPr>
            <w:tcW w:w="5400" w:type="dxa"/>
            <w:shd w:val="clear" w:color="auto" w:fill="0072C6"/>
          </w:tcPr>
          <w:p w14:paraId="14A4BFD2" w14:textId="77777777" w:rsidR="006360A6" w:rsidRPr="001A0074" w:rsidRDefault="006360A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5FA83E" w14:textId="77777777" w:rsidR="006360A6" w:rsidRPr="001A0074" w:rsidRDefault="006360A6" w:rsidP="00B6224B">
            <w:pPr>
              <w:pStyle w:val="ProductList-OfferingBody"/>
              <w:jc w:val="center"/>
              <w:rPr>
                <w:color w:val="FFFFFF" w:themeColor="background1"/>
              </w:rPr>
            </w:pPr>
            <w:r>
              <w:rPr>
                <w:color w:val="FFFFFF" w:themeColor="background1"/>
              </w:rPr>
              <w:t>Avoir Service</w:t>
            </w:r>
          </w:p>
        </w:tc>
      </w:tr>
      <w:tr w:rsidR="006360A6" w:rsidRPr="002928A2" w14:paraId="07E6C22D" w14:textId="77777777" w:rsidTr="00A40F90">
        <w:tc>
          <w:tcPr>
            <w:tcW w:w="5400" w:type="dxa"/>
          </w:tcPr>
          <w:p w14:paraId="4202FB97" w14:textId="77777777" w:rsidR="006360A6" w:rsidRPr="0076238C" w:rsidRDefault="006360A6" w:rsidP="00B6224B">
            <w:pPr>
              <w:pStyle w:val="ProductList-OfferingBody"/>
              <w:jc w:val="center"/>
            </w:pPr>
            <w:r>
              <w:t>&lt; 99,9%</w:t>
            </w:r>
          </w:p>
        </w:tc>
        <w:tc>
          <w:tcPr>
            <w:tcW w:w="5400" w:type="dxa"/>
          </w:tcPr>
          <w:p w14:paraId="077AAA5F" w14:textId="77777777" w:rsidR="006360A6" w:rsidRPr="0076238C" w:rsidRDefault="006360A6" w:rsidP="00B6224B">
            <w:pPr>
              <w:pStyle w:val="ProductList-OfferingBody"/>
              <w:jc w:val="center"/>
            </w:pPr>
            <w:r>
              <w:t>25%</w:t>
            </w:r>
          </w:p>
        </w:tc>
      </w:tr>
      <w:tr w:rsidR="006360A6" w:rsidRPr="002928A2" w14:paraId="10A70958" w14:textId="77777777" w:rsidTr="00A40F90">
        <w:tc>
          <w:tcPr>
            <w:tcW w:w="5400" w:type="dxa"/>
          </w:tcPr>
          <w:p w14:paraId="3AB3ECA6" w14:textId="77777777" w:rsidR="006360A6" w:rsidRPr="0076238C" w:rsidRDefault="006360A6" w:rsidP="00B6224B">
            <w:pPr>
              <w:pStyle w:val="ProductList-OfferingBody"/>
              <w:jc w:val="center"/>
            </w:pPr>
            <w:r>
              <w:t>&lt; 99%</w:t>
            </w:r>
          </w:p>
        </w:tc>
        <w:tc>
          <w:tcPr>
            <w:tcW w:w="5400" w:type="dxa"/>
          </w:tcPr>
          <w:p w14:paraId="238A6DE7" w14:textId="77777777" w:rsidR="006360A6" w:rsidRPr="0076238C" w:rsidRDefault="006360A6" w:rsidP="00B6224B">
            <w:pPr>
              <w:pStyle w:val="ProductList-OfferingBody"/>
              <w:jc w:val="center"/>
            </w:pPr>
            <w:r>
              <w:t>50%</w:t>
            </w:r>
          </w:p>
        </w:tc>
      </w:tr>
      <w:tr w:rsidR="006360A6" w:rsidRPr="002928A2" w14:paraId="4FEB1B77" w14:textId="77777777" w:rsidTr="00A40F90">
        <w:tc>
          <w:tcPr>
            <w:tcW w:w="5400" w:type="dxa"/>
          </w:tcPr>
          <w:p w14:paraId="731E20F3" w14:textId="77777777" w:rsidR="006360A6" w:rsidRPr="0076238C" w:rsidRDefault="006360A6" w:rsidP="00B6224B">
            <w:pPr>
              <w:pStyle w:val="ProductList-OfferingBody"/>
              <w:jc w:val="center"/>
            </w:pPr>
            <w:r>
              <w:t>&lt; 95%</w:t>
            </w:r>
          </w:p>
        </w:tc>
        <w:tc>
          <w:tcPr>
            <w:tcW w:w="5400" w:type="dxa"/>
          </w:tcPr>
          <w:p w14:paraId="65E2FC04" w14:textId="77777777" w:rsidR="006360A6" w:rsidRPr="0076238C" w:rsidRDefault="006360A6" w:rsidP="00B6224B">
            <w:pPr>
              <w:pStyle w:val="ProductList-OfferingBody"/>
              <w:jc w:val="center"/>
            </w:pPr>
            <w:r>
              <w:t>100%</w:t>
            </w:r>
          </w:p>
        </w:tc>
      </w:tr>
    </w:tbl>
    <w:p w14:paraId="06493E8E" w14:textId="77777777" w:rsidR="009C340C" w:rsidRPr="00FB368F" w:rsidRDefault="00065349"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B32CFC" w14:textId="0361616B" w:rsidR="003D3190" w:rsidRPr="00C84C65" w:rsidRDefault="003D3190" w:rsidP="00B6224B">
      <w:pPr>
        <w:pStyle w:val="ProductList-Offering2Heading"/>
        <w:tabs>
          <w:tab w:val="clear" w:pos="360"/>
          <w:tab w:val="clear" w:pos="720"/>
          <w:tab w:val="clear" w:pos="1080"/>
        </w:tabs>
        <w:outlineLvl w:val="2"/>
      </w:pPr>
      <w:bookmarkStart w:id="111" w:name="_Toc65680428"/>
      <w:r>
        <w:t>Microsoft Power</w:t>
      </w:r>
      <w:r w:rsidR="00B4626C">
        <w:t xml:space="preserve"> </w:t>
      </w:r>
      <w:r>
        <w:t>Apps</w:t>
      </w:r>
      <w:bookmarkEnd w:id="109"/>
      <w:bookmarkEnd w:id="111"/>
    </w:p>
    <w:p w14:paraId="70D17FD5" w14:textId="5A0B92A7" w:rsidR="003D3190" w:rsidRPr="00C84C65" w:rsidRDefault="003D3190" w:rsidP="00B6224B">
      <w:pPr>
        <w:pStyle w:val="ProductList-Body"/>
      </w:pPr>
      <w:r>
        <w:rPr>
          <w:b/>
          <w:color w:val="00188F"/>
        </w:rPr>
        <w:t>Temps d’Indisponibilité</w:t>
      </w:r>
      <w:r>
        <w:t> </w:t>
      </w:r>
      <w:r w:rsidRPr="006E70DE">
        <w:rPr>
          <w:bCs/>
        </w:rPr>
        <w:t>:</w:t>
      </w:r>
      <w:r w:rsidRPr="00C07813">
        <w:rPr>
          <w:b/>
          <w:bCs/>
        </w:rPr>
        <w:t xml:space="preserve"> </w:t>
      </w:r>
      <w:r>
        <w:rPr>
          <w:szCs w:val="18"/>
        </w:rPr>
        <w:t>Toute période au cours de laquelle les utilisateurs sont dans l’impossibilité de lire ou d’écrire toute portion des données dans les Microsoft Power</w:t>
      </w:r>
      <w:r w:rsidR="008C0DC9">
        <w:rPr>
          <w:szCs w:val="18"/>
        </w:rPr>
        <w:t xml:space="preserve"> </w:t>
      </w:r>
      <w:r>
        <w:rPr>
          <w:szCs w:val="18"/>
        </w:rPr>
        <w:t>Apps pour lesquelles ils disposent des autorisations appropriées.</w:t>
      </w:r>
    </w:p>
    <w:p w14:paraId="302208BD" w14:textId="77777777" w:rsidR="003D3190" w:rsidRPr="00C84C65" w:rsidRDefault="003D3190" w:rsidP="00B6224B">
      <w:pPr>
        <w:pStyle w:val="ProductList-Body"/>
      </w:pPr>
    </w:p>
    <w:p w14:paraId="24B605F7" w14:textId="77777777" w:rsidR="003D3190" w:rsidRPr="00C84C65" w:rsidRDefault="003D3190" w:rsidP="00B6224B">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760F9D42" w14:textId="77777777" w:rsidR="003D3190" w:rsidRPr="00C84C65" w:rsidRDefault="003D3190" w:rsidP="00B6224B">
      <w:pPr>
        <w:pStyle w:val="ProductList-Body"/>
      </w:pPr>
    </w:p>
    <w:p w14:paraId="5010E696" w14:textId="77777777" w:rsidR="003D3190" w:rsidRPr="002928A2" w:rsidRDefault="00065349"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C2A58D" w14:textId="77777777" w:rsidR="003D3190" w:rsidRPr="00C84C65" w:rsidRDefault="003D3190" w:rsidP="00B6224B">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859C70E" w14:textId="77777777" w:rsidTr="007B4942">
        <w:trPr>
          <w:tblHeader/>
        </w:trPr>
        <w:tc>
          <w:tcPr>
            <w:tcW w:w="5400" w:type="dxa"/>
            <w:shd w:val="clear" w:color="auto" w:fill="0072C6"/>
          </w:tcPr>
          <w:p w14:paraId="1655BAFD" w14:textId="77777777" w:rsidR="003D3190" w:rsidRPr="001A0074" w:rsidRDefault="003D31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460AE3E1" w14:textId="77777777" w:rsidTr="007B4942">
        <w:tc>
          <w:tcPr>
            <w:tcW w:w="5400" w:type="dxa"/>
          </w:tcPr>
          <w:p w14:paraId="47362340" w14:textId="77777777" w:rsidR="003D3190" w:rsidRPr="0076238C" w:rsidRDefault="003D3190" w:rsidP="00B6224B">
            <w:pPr>
              <w:pStyle w:val="ProductList-OfferingBody"/>
              <w:jc w:val="center"/>
            </w:pPr>
            <w:r>
              <w:t>&lt; 99,9 %</w:t>
            </w:r>
          </w:p>
        </w:tc>
        <w:tc>
          <w:tcPr>
            <w:tcW w:w="5400" w:type="dxa"/>
          </w:tcPr>
          <w:p w14:paraId="02F32CD0" w14:textId="77777777" w:rsidR="003D3190" w:rsidRPr="0076238C" w:rsidRDefault="003D3190" w:rsidP="00B6224B">
            <w:pPr>
              <w:pStyle w:val="ProductList-OfferingBody"/>
              <w:jc w:val="center"/>
            </w:pPr>
            <w:r>
              <w:t>25 %</w:t>
            </w:r>
          </w:p>
        </w:tc>
      </w:tr>
      <w:tr w:rsidR="003D3190" w:rsidRPr="002928A2" w14:paraId="3960C305" w14:textId="77777777" w:rsidTr="007B4942">
        <w:tc>
          <w:tcPr>
            <w:tcW w:w="5400" w:type="dxa"/>
          </w:tcPr>
          <w:p w14:paraId="2AD5110C" w14:textId="77777777" w:rsidR="003D3190" w:rsidRPr="0076238C" w:rsidRDefault="003D3190" w:rsidP="00B6224B">
            <w:pPr>
              <w:pStyle w:val="ProductList-OfferingBody"/>
              <w:jc w:val="center"/>
            </w:pPr>
            <w:r>
              <w:t>&lt; 99 %</w:t>
            </w:r>
          </w:p>
        </w:tc>
        <w:tc>
          <w:tcPr>
            <w:tcW w:w="5400" w:type="dxa"/>
          </w:tcPr>
          <w:p w14:paraId="4AFBCFD4" w14:textId="77777777" w:rsidR="003D3190" w:rsidRPr="0076238C" w:rsidRDefault="003D3190" w:rsidP="00B6224B">
            <w:pPr>
              <w:pStyle w:val="ProductList-OfferingBody"/>
              <w:jc w:val="center"/>
            </w:pPr>
            <w:r>
              <w:t>50 %</w:t>
            </w:r>
          </w:p>
        </w:tc>
      </w:tr>
      <w:tr w:rsidR="003D3190" w:rsidRPr="002928A2" w14:paraId="477F64BB" w14:textId="77777777" w:rsidTr="007B4942">
        <w:tc>
          <w:tcPr>
            <w:tcW w:w="5400" w:type="dxa"/>
          </w:tcPr>
          <w:p w14:paraId="502669D6" w14:textId="77777777" w:rsidR="003D3190" w:rsidRPr="0076238C" w:rsidRDefault="003D3190" w:rsidP="00B6224B">
            <w:pPr>
              <w:pStyle w:val="ProductList-OfferingBody"/>
              <w:jc w:val="center"/>
            </w:pPr>
            <w:r>
              <w:t>&lt; 95 %</w:t>
            </w:r>
          </w:p>
        </w:tc>
        <w:tc>
          <w:tcPr>
            <w:tcW w:w="5400" w:type="dxa"/>
          </w:tcPr>
          <w:p w14:paraId="6CB71A78" w14:textId="77777777" w:rsidR="003D3190" w:rsidRPr="0076238C" w:rsidRDefault="003D3190" w:rsidP="00B6224B">
            <w:pPr>
              <w:pStyle w:val="ProductList-OfferingBody"/>
              <w:jc w:val="center"/>
            </w:pPr>
            <w:r>
              <w:t>100 %</w:t>
            </w:r>
          </w:p>
        </w:tc>
      </w:tr>
    </w:tbl>
    <w:p w14:paraId="7D482C93" w14:textId="77777777" w:rsidR="003D3190" w:rsidRPr="00C84C65" w:rsidRDefault="003D3190" w:rsidP="00B6224B">
      <w:pPr>
        <w:pStyle w:val="ProductList-Body"/>
      </w:pPr>
    </w:p>
    <w:p w14:paraId="54E31104" w14:textId="49E2F0BB" w:rsidR="003D3190" w:rsidRPr="00C84C65" w:rsidRDefault="003D3190" w:rsidP="00B6224B">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Power</w:t>
      </w:r>
      <w:r w:rsidR="00B4626C">
        <w:t xml:space="preserve"> </w:t>
      </w:r>
      <w:r>
        <w:t>Apps.</w:t>
      </w:r>
    </w:p>
    <w:p w14:paraId="42F17287" w14:textId="77777777" w:rsidR="009C340C" w:rsidRPr="00FB368F" w:rsidRDefault="00065349"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E60E2E9" w14:textId="77777777" w:rsidR="00807F56" w:rsidRPr="004732EE" w:rsidRDefault="00807F56" w:rsidP="00807F56">
      <w:pPr>
        <w:pBdr>
          <w:bottom w:val="single" w:sz="4" w:space="1" w:color="595959"/>
        </w:pBdr>
        <w:tabs>
          <w:tab w:val="left" w:pos="360"/>
          <w:tab w:val="left" w:pos="720"/>
          <w:tab w:val="left" w:pos="1080"/>
        </w:tabs>
        <w:spacing w:before="60" w:after="0" w:line="240" w:lineRule="auto"/>
        <w:ind w:firstLine="187"/>
        <w:outlineLvl w:val="2"/>
        <w:rPr>
          <w:sz w:val="18"/>
          <w:szCs w:val="18"/>
        </w:rPr>
      </w:pPr>
      <w:bookmarkStart w:id="112" w:name="_Toc34826924"/>
      <w:r>
        <w:rPr>
          <w:rFonts w:ascii="Calibri Light" w:eastAsia="Calibri" w:hAnsi="Calibri Light" w:cs="Arial"/>
          <w:b/>
          <w:color w:val="0072C6"/>
          <w:sz w:val="28"/>
        </w:rPr>
        <w:t>Agents virtuels Microsoft Power</w:t>
      </w:r>
      <w:bookmarkEnd w:id="112"/>
    </w:p>
    <w:p w14:paraId="45EDF377" w14:textId="77777777" w:rsidR="00807F56" w:rsidRPr="004732EE" w:rsidRDefault="00807F56" w:rsidP="00807F56">
      <w:pPr>
        <w:shd w:val="clear" w:color="auto" w:fill="FFFFFF"/>
        <w:spacing w:after="0" w:line="240" w:lineRule="auto"/>
        <w:rPr>
          <w:sz w:val="18"/>
          <w:szCs w:val="18"/>
        </w:rPr>
      </w:pPr>
      <w:r>
        <w:rPr>
          <w:rFonts w:ascii="Calibri" w:eastAsia="Calibri" w:hAnsi="Calibri" w:cs="Arial"/>
          <w:b/>
          <w:color w:val="00188F"/>
          <w:sz w:val="18"/>
        </w:rPr>
        <w:t xml:space="preserve">Définitions supplémentaires : </w:t>
      </w:r>
    </w:p>
    <w:p w14:paraId="54A1E882" w14:textId="77777777" w:rsidR="00807F56" w:rsidRPr="004732EE" w:rsidRDefault="00807F56" w:rsidP="00807F56">
      <w:pPr>
        <w:shd w:val="clear" w:color="auto" w:fill="FFFFFF"/>
        <w:spacing w:after="0" w:line="240" w:lineRule="auto"/>
        <w:rPr>
          <w:sz w:val="18"/>
          <w:szCs w:val="18"/>
        </w:rPr>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est le nombre total de demandes faites par un utilisateur final aux agents virtuels Power au cours d'un mois de facturation.</w:t>
      </w:r>
    </w:p>
    <w:p w14:paraId="6261999E" w14:textId="77777777" w:rsidR="00807F56" w:rsidRPr="004732EE" w:rsidRDefault="00807F56" w:rsidP="00807F56">
      <w:pPr>
        <w:shd w:val="clear" w:color="auto" w:fill="FFFFFF"/>
        <w:spacing w:after="0" w:line="240" w:lineRule="auto"/>
        <w:rPr>
          <w:sz w:val="18"/>
          <w:szCs w:val="18"/>
        </w:rPr>
      </w:pPr>
    </w:p>
    <w:p w14:paraId="554F2CCC" w14:textId="77777777" w:rsidR="00807F56" w:rsidRPr="004732EE" w:rsidRDefault="00807F56" w:rsidP="00807F56">
      <w:pPr>
        <w:shd w:val="clear" w:color="auto" w:fill="FFFFFF"/>
        <w:spacing w:after="0" w:line="240" w:lineRule="auto"/>
        <w:rPr>
          <w:sz w:val="18"/>
          <w:szCs w:val="18"/>
        </w:rPr>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agents virtuels Power ne peuvent pas envoyer de message de réponse en raison d'une erreur système dans les agents virtuels Power.</w:t>
      </w:r>
    </w:p>
    <w:p w14:paraId="59766540" w14:textId="77777777" w:rsidR="00807F56" w:rsidRPr="004732EE" w:rsidRDefault="00807F56" w:rsidP="00807F56">
      <w:pPr>
        <w:shd w:val="clear" w:color="auto" w:fill="FFFFFF"/>
        <w:spacing w:after="0" w:line="240" w:lineRule="auto"/>
        <w:rPr>
          <w:sz w:val="18"/>
          <w:szCs w:val="18"/>
        </w:rPr>
      </w:pPr>
    </w:p>
    <w:p w14:paraId="2E172B9B" w14:textId="77777777" w:rsidR="00807F56" w:rsidRPr="004732EE" w:rsidRDefault="00807F56" w:rsidP="00807F56">
      <w:pPr>
        <w:tabs>
          <w:tab w:val="left" w:pos="360"/>
          <w:tab w:val="left" w:pos="720"/>
          <w:tab w:val="left" w:pos="1080"/>
        </w:tabs>
        <w:spacing w:after="0" w:line="240" w:lineRule="auto"/>
        <w:rPr>
          <w:sz w:val="18"/>
          <w:szCs w:val="18"/>
        </w:rPr>
      </w:pPr>
      <w:r>
        <w:rPr>
          <w:rFonts w:ascii="Calibri" w:eastAsia="Calibri" w:hAnsi="Calibri" w:cs="Arial"/>
          <w:b/>
          <w:color w:val="00188F"/>
          <w:sz w:val="18"/>
        </w:rPr>
        <w:t>Pourcentage de Temps de Disponibilité Mensuel</w:t>
      </w:r>
      <w:r>
        <w:rPr>
          <w:rFonts w:ascii="Calibri" w:eastAsia="Calibri" w:hAnsi="Calibri" w:cs="Arial"/>
          <w:sz w:val="18"/>
        </w:rPr>
        <w:t> </w:t>
      </w:r>
      <w:r w:rsidRPr="00C57CD4">
        <w:rPr>
          <w:rFonts w:ascii="Calibri" w:eastAsia="Calibri" w:hAnsi="Calibri" w:cs="Arial"/>
          <w:b/>
          <w:bCs/>
          <w:sz w:val="18"/>
        </w:rPr>
        <w:t>:</w:t>
      </w:r>
      <w:r>
        <w:rPr>
          <w:rFonts w:ascii="Calibri" w:eastAsia="Calibri" w:hAnsi="Calibri" w:cs="Arial"/>
          <w:sz w:val="18"/>
        </w:rPr>
        <w:t xml:space="preserve"> le Pourcentage de Temps de Disponibilité Mensuel est calculé à l’aide de la formule suivante :</w:t>
      </w:r>
    </w:p>
    <w:p w14:paraId="49F0AD9A" w14:textId="77777777" w:rsidR="00807F56" w:rsidRPr="004732EE" w:rsidRDefault="00807F56" w:rsidP="00807F56">
      <w:pPr>
        <w:tabs>
          <w:tab w:val="left" w:pos="360"/>
          <w:tab w:val="left" w:pos="720"/>
          <w:tab w:val="left" w:pos="1080"/>
        </w:tabs>
        <w:spacing w:after="0" w:line="240" w:lineRule="auto"/>
        <w:rPr>
          <w:sz w:val="18"/>
          <w:szCs w:val="18"/>
        </w:rPr>
      </w:pPr>
    </w:p>
    <w:p w14:paraId="3140D40C" w14:textId="77777777" w:rsidR="00807F56" w:rsidRPr="004732EE" w:rsidRDefault="00065349" w:rsidP="00807F56">
      <w:pPr>
        <w:spacing w:after="0" w:line="240" w:lineRule="auto"/>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des demandes de messages - Demandes de messages inabouties </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72F0A627" w14:textId="77777777" w:rsidR="004732EE" w:rsidRDefault="004732EE" w:rsidP="00807F56">
      <w:pPr>
        <w:tabs>
          <w:tab w:val="left" w:pos="360"/>
          <w:tab w:val="left" w:pos="720"/>
          <w:tab w:val="left" w:pos="1080"/>
        </w:tabs>
        <w:spacing w:after="0" w:line="240" w:lineRule="auto"/>
        <w:rPr>
          <w:rFonts w:ascii="Calibri" w:eastAsia="Calibri" w:hAnsi="Calibri" w:cs="Arial"/>
          <w:b/>
          <w:color w:val="00188F"/>
          <w:sz w:val="18"/>
        </w:rPr>
      </w:pPr>
    </w:p>
    <w:p w14:paraId="1F13A7CE" w14:textId="3DEE1D8E" w:rsidR="00807F56" w:rsidRPr="00514C8C" w:rsidRDefault="00807F56" w:rsidP="00807F56">
      <w:pPr>
        <w:tabs>
          <w:tab w:val="left" w:pos="360"/>
          <w:tab w:val="left" w:pos="720"/>
          <w:tab w:val="left" w:pos="1080"/>
        </w:tabs>
        <w:spacing w:after="0" w:line="240" w:lineRule="auto"/>
      </w:pPr>
      <w:r>
        <w:rPr>
          <w:rFonts w:ascii="Calibri" w:eastAsia="Calibri" w:hAnsi="Calibri" w:cs="Arial"/>
          <w:b/>
          <w:color w:val="00188F"/>
          <w:sz w:val="18"/>
        </w:rPr>
        <w:t>Avoir Service </w:t>
      </w:r>
      <w:r w:rsidRPr="00C57CD4">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807F56" w:rsidRPr="006D4DC5" w14:paraId="1106601C" w14:textId="77777777" w:rsidTr="00821000">
        <w:trPr>
          <w:tblHeader/>
        </w:trPr>
        <w:tc>
          <w:tcPr>
            <w:tcW w:w="4676" w:type="dxa"/>
            <w:shd w:val="clear" w:color="auto" w:fill="0072C6"/>
          </w:tcPr>
          <w:p w14:paraId="50193C56" w14:textId="77777777" w:rsidR="00807F56" w:rsidRPr="006D4DC5" w:rsidRDefault="00807F56" w:rsidP="00821000">
            <w:pPr>
              <w:pStyle w:val="ProductList-OfferingBody"/>
              <w:jc w:val="center"/>
              <w:rPr>
                <w:color w:val="FFFFFF" w:themeColor="background1"/>
              </w:rPr>
            </w:pPr>
            <w:r>
              <w:rPr>
                <w:color w:val="FFFFFF" w:themeColor="background1"/>
              </w:rPr>
              <w:t>Pourcentage de Temps de Disponibilité Mensuel</w:t>
            </w:r>
          </w:p>
        </w:tc>
        <w:tc>
          <w:tcPr>
            <w:tcW w:w="4676" w:type="dxa"/>
            <w:shd w:val="clear" w:color="auto" w:fill="0072C6"/>
          </w:tcPr>
          <w:p w14:paraId="732C996A" w14:textId="77777777" w:rsidR="00807F56" w:rsidRPr="006D4DC5" w:rsidRDefault="00807F56" w:rsidP="00821000">
            <w:pPr>
              <w:pStyle w:val="ProductList-OfferingBody"/>
              <w:jc w:val="center"/>
              <w:rPr>
                <w:color w:val="FFFFFF" w:themeColor="background1"/>
              </w:rPr>
            </w:pPr>
            <w:r>
              <w:rPr>
                <w:color w:val="FFFFFF" w:themeColor="background1"/>
              </w:rPr>
              <w:t>Avoir Service</w:t>
            </w:r>
          </w:p>
        </w:tc>
      </w:tr>
      <w:tr w:rsidR="00807F56" w:rsidRPr="006D4DC5" w14:paraId="5CEF1248" w14:textId="77777777" w:rsidTr="00821000">
        <w:trPr>
          <w:tblHeader/>
        </w:trPr>
        <w:tc>
          <w:tcPr>
            <w:tcW w:w="4676" w:type="dxa"/>
          </w:tcPr>
          <w:p w14:paraId="3CA1DB87" w14:textId="77777777" w:rsidR="00807F56" w:rsidRDefault="00807F56" w:rsidP="00821000">
            <w:pPr>
              <w:pStyle w:val="ProductList-OfferingBody"/>
              <w:jc w:val="center"/>
              <w:rPr>
                <w:color w:val="000000" w:themeColor="text1"/>
              </w:rPr>
            </w:pPr>
            <w:r>
              <w:t>&lt; 99,9 %</w:t>
            </w:r>
          </w:p>
        </w:tc>
        <w:tc>
          <w:tcPr>
            <w:tcW w:w="4676" w:type="dxa"/>
          </w:tcPr>
          <w:p w14:paraId="286F9D37" w14:textId="77777777" w:rsidR="00807F56" w:rsidRDefault="00807F56" w:rsidP="00821000">
            <w:pPr>
              <w:pStyle w:val="ProductList-OfferingBody"/>
              <w:jc w:val="center"/>
              <w:rPr>
                <w:color w:val="000000" w:themeColor="text1"/>
              </w:rPr>
            </w:pPr>
            <w:r>
              <w:t>10 %</w:t>
            </w:r>
          </w:p>
        </w:tc>
      </w:tr>
    </w:tbl>
    <w:p w14:paraId="5A9D430C" w14:textId="77777777" w:rsidR="00807F56" w:rsidRPr="00514C8C" w:rsidRDefault="00065349" w:rsidP="00807F56">
      <w:pPr>
        <w:shd w:val="clear" w:color="auto" w:fill="808080"/>
        <w:spacing w:before="120" w:after="240" w:line="240" w:lineRule="auto"/>
        <w:jc w:val="right"/>
      </w:pPr>
      <w:hyperlink w:anchor="_top" w:tooltip="Table des matières" w:history="1">
        <w:r w:rsidR="00807F56">
          <w:rPr>
            <w:rFonts w:ascii="Calibri" w:eastAsia="Calibri" w:hAnsi="Calibri" w:cs="Arial"/>
            <w:color w:val="0563C1"/>
            <w:sz w:val="16"/>
            <w:szCs w:val="16"/>
            <w:u w:val="single"/>
          </w:rPr>
          <w:t>Table des matières</w:t>
        </w:r>
      </w:hyperlink>
      <w:r w:rsidR="00807F56">
        <w:rPr>
          <w:rFonts w:ascii="Calibri" w:eastAsia="Calibri" w:hAnsi="Calibri" w:cs="Arial"/>
          <w:sz w:val="16"/>
          <w:szCs w:val="16"/>
        </w:rPr>
        <w:t xml:space="preserve"> / </w:t>
      </w:r>
      <w:hyperlink w:anchor="_top" w:tooltip="Définitions" w:history="1">
        <w:r w:rsidR="00807F56">
          <w:rPr>
            <w:rFonts w:ascii="Calibri" w:eastAsia="Calibri" w:hAnsi="Calibri" w:cs="Arial"/>
            <w:color w:val="0563C1"/>
            <w:sz w:val="16"/>
            <w:szCs w:val="16"/>
            <w:u w:val="single"/>
          </w:rPr>
          <w:t>Définitions</w:t>
        </w:r>
      </w:hyperlink>
    </w:p>
    <w:p w14:paraId="046FE92E" w14:textId="49DA97EA" w:rsidR="0075506A" w:rsidRPr="00941D54" w:rsidRDefault="0075506A" w:rsidP="00B6224B">
      <w:pPr>
        <w:pStyle w:val="ProductList-Offering2Heading"/>
        <w:tabs>
          <w:tab w:val="clear" w:pos="360"/>
          <w:tab w:val="clear" w:pos="720"/>
          <w:tab w:val="clear" w:pos="1080"/>
        </w:tabs>
        <w:outlineLvl w:val="2"/>
      </w:pPr>
      <w:bookmarkStart w:id="113" w:name="_Toc65680429"/>
      <w:r>
        <w:t>Minecraft </w:t>
      </w:r>
      <w:r w:rsidRPr="00C55C15">
        <w:t>:</w:t>
      </w:r>
      <w:r>
        <w:t xml:space="preserve"> Education Edition</w:t>
      </w:r>
      <w:bookmarkEnd w:id="104"/>
      <w:bookmarkEnd w:id="113"/>
    </w:p>
    <w:p w14:paraId="5451395D" w14:textId="77777777" w:rsidR="0075506A" w:rsidRPr="00941D54" w:rsidRDefault="0075506A" w:rsidP="00B6224B">
      <w:pPr>
        <w:pStyle w:val="ProductList-Body"/>
      </w:pPr>
      <w:r>
        <w:rPr>
          <w:b/>
          <w:color w:val="00188F"/>
        </w:rPr>
        <w:t>Temps d’Indisponibilité</w:t>
      </w:r>
      <w:r>
        <w:t> </w:t>
      </w:r>
      <w:r w:rsidRPr="006E70DE">
        <w:rPr>
          <w:bCs/>
        </w:rPr>
        <w:t>:</w:t>
      </w:r>
      <w:r>
        <w:t xml:space="preserve"> </w:t>
      </w:r>
      <w:r>
        <w:rPr>
          <w:szCs w:val="18"/>
        </w:rPr>
        <w:t>Toute période au cours de laquelle les utilisateurs ne peuvent pas accéder à Minecraft </w:t>
      </w:r>
      <w:r w:rsidRPr="006E70DE">
        <w:rPr>
          <w:szCs w:val="18"/>
        </w:rPr>
        <w:t>:</w:t>
      </w:r>
      <w:r>
        <w:rPr>
          <w:szCs w:val="18"/>
        </w:rPr>
        <w:t xml:space="preserve"> Education Edition. </w:t>
      </w:r>
    </w:p>
    <w:p w14:paraId="4B1292B4" w14:textId="77777777" w:rsidR="0075506A" w:rsidRPr="00941D54" w:rsidRDefault="0075506A" w:rsidP="00B6224B">
      <w:pPr>
        <w:pStyle w:val="ProductList-Body"/>
      </w:pPr>
    </w:p>
    <w:p w14:paraId="2292EF24" w14:textId="77777777" w:rsidR="0075506A" w:rsidRPr="00941D54" w:rsidRDefault="0075506A" w:rsidP="004732EE">
      <w:pPr>
        <w:pStyle w:val="ProductList-Body"/>
        <w:keepNext/>
      </w:pPr>
      <w:r>
        <w:rPr>
          <w:b/>
          <w:color w:val="00188F"/>
        </w:rPr>
        <w:lastRenderedPageBreak/>
        <w:t>Pourcentage de Temps de Disponibilité Mensuel</w:t>
      </w:r>
      <w:r>
        <w:t> </w:t>
      </w:r>
      <w:r w:rsidRPr="006E70DE">
        <w:rPr>
          <w:bCs/>
        </w:rPr>
        <w:t>:</w:t>
      </w:r>
      <w:r>
        <w:t xml:space="preserve"> Le Pourcentage de Temps de Disponibilité Mensuel est calculé à l’aide de la formule suivante </w:t>
      </w:r>
      <w:r w:rsidRPr="006E70DE">
        <w:t>:</w:t>
      </w:r>
    </w:p>
    <w:p w14:paraId="79ECF331" w14:textId="77777777" w:rsidR="0075506A" w:rsidRPr="00941D54" w:rsidRDefault="0075506A" w:rsidP="004732EE">
      <w:pPr>
        <w:pStyle w:val="ProductList-Body"/>
        <w:keepNext/>
      </w:pPr>
    </w:p>
    <w:p w14:paraId="123AAB12" w14:textId="77777777" w:rsidR="0075506A" w:rsidRPr="002928A2" w:rsidRDefault="00065349"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B6224B">
      <w:pPr>
        <w:pStyle w:val="ProductList-Body"/>
      </w:pPr>
    </w:p>
    <w:p w14:paraId="2A5C8F6B" w14:textId="77777777" w:rsidR="0075506A" w:rsidRPr="00941D54" w:rsidRDefault="0075506A"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592E4281" w14:textId="77777777" w:rsidTr="007B4942">
        <w:trPr>
          <w:tblHeader/>
        </w:trPr>
        <w:tc>
          <w:tcPr>
            <w:tcW w:w="5400" w:type="dxa"/>
            <w:shd w:val="clear" w:color="auto" w:fill="0072C6"/>
          </w:tcPr>
          <w:p w14:paraId="3BF6B7BD" w14:textId="77777777" w:rsidR="0075506A" w:rsidRPr="001A0074" w:rsidRDefault="0075506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B6224B">
            <w:pPr>
              <w:pStyle w:val="ProductList-OfferingBody"/>
              <w:jc w:val="center"/>
              <w:rPr>
                <w:color w:val="FFFFFF" w:themeColor="background1"/>
              </w:rPr>
            </w:pPr>
            <w:r>
              <w:rPr>
                <w:color w:val="FFFFFF" w:themeColor="background1"/>
              </w:rPr>
              <w:t>Avoir Service</w:t>
            </w:r>
          </w:p>
        </w:tc>
      </w:tr>
      <w:tr w:rsidR="0075506A" w:rsidRPr="002928A2" w14:paraId="012F6439" w14:textId="77777777" w:rsidTr="007B4942">
        <w:tc>
          <w:tcPr>
            <w:tcW w:w="5400" w:type="dxa"/>
          </w:tcPr>
          <w:p w14:paraId="5EBA470D" w14:textId="77777777" w:rsidR="0075506A" w:rsidRPr="0076238C" w:rsidRDefault="0075506A" w:rsidP="00B6224B">
            <w:pPr>
              <w:pStyle w:val="ProductList-OfferingBody"/>
              <w:jc w:val="center"/>
            </w:pPr>
            <w:r>
              <w:t>&lt; 99,9 %</w:t>
            </w:r>
          </w:p>
        </w:tc>
        <w:tc>
          <w:tcPr>
            <w:tcW w:w="5400" w:type="dxa"/>
          </w:tcPr>
          <w:p w14:paraId="2B4495B1" w14:textId="77777777" w:rsidR="0075506A" w:rsidRPr="0076238C" w:rsidRDefault="0075506A" w:rsidP="00B6224B">
            <w:pPr>
              <w:pStyle w:val="ProductList-OfferingBody"/>
              <w:jc w:val="center"/>
            </w:pPr>
            <w:r>
              <w:t>25%</w:t>
            </w:r>
          </w:p>
        </w:tc>
      </w:tr>
      <w:tr w:rsidR="0075506A" w:rsidRPr="002928A2" w14:paraId="2099FE8A" w14:textId="77777777" w:rsidTr="007B4942">
        <w:tc>
          <w:tcPr>
            <w:tcW w:w="5400" w:type="dxa"/>
          </w:tcPr>
          <w:p w14:paraId="122485AC" w14:textId="77777777" w:rsidR="0075506A" w:rsidRPr="0076238C" w:rsidRDefault="0075506A" w:rsidP="00B6224B">
            <w:pPr>
              <w:pStyle w:val="ProductList-OfferingBody"/>
              <w:jc w:val="center"/>
            </w:pPr>
            <w:r>
              <w:t>&lt; 99 %</w:t>
            </w:r>
          </w:p>
        </w:tc>
        <w:tc>
          <w:tcPr>
            <w:tcW w:w="5400" w:type="dxa"/>
          </w:tcPr>
          <w:p w14:paraId="1E28DC59" w14:textId="77777777" w:rsidR="0075506A" w:rsidRPr="0076238C" w:rsidRDefault="0075506A" w:rsidP="00B6224B">
            <w:pPr>
              <w:pStyle w:val="ProductList-OfferingBody"/>
              <w:jc w:val="center"/>
            </w:pPr>
            <w:r>
              <w:t>50%</w:t>
            </w:r>
          </w:p>
        </w:tc>
      </w:tr>
      <w:tr w:rsidR="0075506A" w:rsidRPr="002928A2" w14:paraId="4F10403A" w14:textId="77777777" w:rsidTr="007B4942">
        <w:tc>
          <w:tcPr>
            <w:tcW w:w="5400" w:type="dxa"/>
          </w:tcPr>
          <w:p w14:paraId="4EC6B8CE" w14:textId="77777777" w:rsidR="0075506A" w:rsidRPr="0076238C" w:rsidRDefault="0075506A" w:rsidP="0084633F">
            <w:pPr>
              <w:pStyle w:val="ProductList-OfferingBody"/>
              <w:jc w:val="center"/>
            </w:pPr>
            <w:r>
              <w:t>&lt; 95 %</w:t>
            </w:r>
          </w:p>
        </w:tc>
        <w:tc>
          <w:tcPr>
            <w:tcW w:w="5400" w:type="dxa"/>
          </w:tcPr>
          <w:p w14:paraId="38AC8FAA" w14:textId="77777777" w:rsidR="0075506A" w:rsidRDefault="0075506A" w:rsidP="00B6224B">
            <w:pPr>
              <w:pStyle w:val="ProductList-OfferingBody"/>
              <w:jc w:val="center"/>
            </w:pPr>
            <w:r>
              <w:t>100%</w:t>
            </w:r>
          </w:p>
        </w:tc>
      </w:tr>
    </w:tbl>
    <w:p w14:paraId="43C36D93" w14:textId="77777777" w:rsidR="009C340C" w:rsidRPr="00FB368F" w:rsidRDefault="00065349"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2A2A792" w14:textId="0242E1F0" w:rsidR="007A3D3A" w:rsidRPr="00944E55" w:rsidRDefault="007A3D3A" w:rsidP="004732EE">
      <w:pPr>
        <w:pStyle w:val="ProductList-Offering2Heading"/>
        <w:tabs>
          <w:tab w:val="clear" w:pos="360"/>
          <w:tab w:val="clear" w:pos="720"/>
          <w:tab w:val="clear" w:pos="1080"/>
        </w:tabs>
        <w:outlineLvl w:val="2"/>
      </w:pPr>
      <w:bookmarkStart w:id="114" w:name="_Toc65680430"/>
      <w:r>
        <w:t>Power BI Embedded</w:t>
      </w:r>
      <w:bookmarkEnd w:id="105"/>
      <w:bookmarkEnd w:id="114"/>
    </w:p>
    <w:p w14:paraId="65038067" w14:textId="77777777" w:rsidR="007A3D3A" w:rsidRPr="00944E55" w:rsidRDefault="007A3D3A" w:rsidP="00B6224B">
      <w:pPr>
        <w:pStyle w:val="ProductList-Body"/>
      </w:pPr>
      <w:r>
        <w:rPr>
          <w:b/>
          <w:color w:val="00188F"/>
        </w:rPr>
        <w:t>Minutes de Déploiement </w:t>
      </w:r>
      <w:r w:rsidRPr="006E70DE">
        <w:t>:</w:t>
      </w:r>
      <w:r>
        <w:t xml:space="preserve"> </w:t>
      </w:r>
      <w:r>
        <w:rPr>
          <w:szCs w:val="18"/>
        </w:rPr>
        <w:t>correspond au nombre total de minutes pour lequel une collection d’espaces de travail spécifique a été configurée au cours d’un mois de facturation.</w:t>
      </w:r>
    </w:p>
    <w:p w14:paraId="5261CCB4" w14:textId="77777777" w:rsidR="007A3D3A" w:rsidRPr="002928A2" w:rsidRDefault="007A3D3A" w:rsidP="00B6224B">
      <w:pPr>
        <w:shd w:val="clear" w:color="auto" w:fill="FFFFFF"/>
        <w:spacing w:after="0" w:line="240" w:lineRule="auto"/>
        <w:rPr>
          <w:sz w:val="18"/>
          <w:szCs w:val="18"/>
        </w:rPr>
      </w:pPr>
    </w:p>
    <w:p w14:paraId="0CF6F4B4" w14:textId="394F09BA" w:rsidR="007A3D3A" w:rsidRPr="00944E55" w:rsidRDefault="00B779AF" w:rsidP="00B6224B">
      <w:pPr>
        <w:pStyle w:val="ProductList-Body"/>
      </w:pPr>
      <w:r w:rsidRPr="00426103">
        <w:t>«</w:t>
      </w:r>
      <w:r>
        <w:t> </w:t>
      </w:r>
      <w:r>
        <w:rPr>
          <w:b/>
          <w:color w:val="00188F"/>
        </w:rPr>
        <w:t>Minutes Disponibles Maximum</w:t>
      </w:r>
      <w:r>
        <w:t> </w:t>
      </w:r>
      <w:r w:rsidRPr="00426103">
        <w:t>»</w:t>
      </w:r>
      <w:r>
        <w:t xml:space="preserve">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B6224B">
      <w:pPr>
        <w:pStyle w:val="ProductList-Body"/>
      </w:pPr>
    </w:p>
    <w:p w14:paraId="686E2337" w14:textId="77777777" w:rsidR="007A3D3A" w:rsidRPr="00944E55" w:rsidRDefault="007A3D3A" w:rsidP="00B6224B">
      <w:pPr>
        <w:pStyle w:val="ProductList-Body"/>
      </w:pPr>
      <w:r>
        <w:rPr>
          <w:b/>
          <w:color w:val="00188F"/>
        </w:rPr>
        <w:t>Temps d’Indisponibilité</w:t>
      </w:r>
      <w:r>
        <w:t> </w:t>
      </w:r>
      <w:r w:rsidRPr="006E70DE">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B6224B">
      <w:pPr>
        <w:pStyle w:val="ProductList-Body"/>
      </w:pPr>
    </w:p>
    <w:p w14:paraId="00F1848C" w14:textId="77777777" w:rsidR="007A3D3A" w:rsidRPr="00944E55" w:rsidRDefault="007A3D3A" w:rsidP="00B6224B">
      <w:pPr>
        <w:pStyle w:val="ProductList-Body"/>
      </w:pPr>
      <w:r>
        <w:rPr>
          <w:b/>
          <w:color w:val="00188F"/>
        </w:rPr>
        <w:t>Pourcentage de Temps de Disponibilité Mensuel</w:t>
      </w:r>
      <w:r>
        <w:t> </w:t>
      </w:r>
      <w:r w:rsidRPr="006E70DE">
        <w:t>:</w:t>
      </w:r>
      <w:r w:rsidRPr="0007437E">
        <w:rPr>
          <w:b/>
        </w:rPr>
        <w:t xml:space="preserve"> </w:t>
      </w:r>
      <w:r>
        <w:t>Le Pourcentage de Temps de Disponibilité Mensuel est calculé à l’aide de la formule suivante </w:t>
      </w:r>
      <w:r w:rsidRPr="006E70DE">
        <w:t>:</w:t>
      </w:r>
    </w:p>
    <w:p w14:paraId="4C76AA94" w14:textId="77777777" w:rsidR="007A3D3A" w:rsidRPr="00944E55" w:rsidRDefault="007A3D3A" w:rsidP="00B6224B">
      <w:pPr>
        <w:pStyle w:val="ProductList-Body"/>
      </w:pPr>
    </w:p>
    <w:p w14:paraId="7F7AC0B0" w14:textId="77777777" w:rsidR="007A3D3A" w:rsidRPr="002928A2" w:rsidRDefault="00065349"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B6224B">
      <w:pPr>
        <w:pStyle w:val="ProductList-Body"/>
      </w:pPr>
    </w:p>
    <w:p w14:paraId="0F7144C6" w14:textId="77777777" w:rsidR="007A3D3A" w:rsidRPr="00944E55" w:rsidRDefault="007A3D3A"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29E52B0" w14:textId="77777777" w:rsidTr="007B4942">
        <w:trPr>
          <w:tblHeader/>
        </w:trPr>
        <w:tc>
          <w:tcPr>
            <w:tcW w:w="5400" w:type="dxa"/>
            <w:shd w:val="clear" w:color="auto" w:fill="0072C6"/>
          </w:tcPr>
          <w:p w14:paraId="0768155B"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1A0917EE" w14:textId="77777777" w:rsidTr="007B4942">
        <w:tc>
          <w:tcPr>
            <w:tcW w:w="5400" w:type="dxa"/>
          </w:tcPr>
          <w:p w14:paraId="7ED701E6" w14:textId="77777777" w:rsidR="007A3D3A" w:rsidRPr="0076238C" w:rsidRDefault="007A3D3A" w:rsidP="00B6224B">
            <w:pPr>
              <w:pStyle w:val="ProductList-OfferingBody"/>
              <w:jc w:val="center"/>
            </w:pPr>
            <w:r>
              <w:t>&lt; 99,9 %</w:t>
            </w:r>
          </w:p>
        </w:tc>
        <w:tc>
          <w:tcPr>
            <w:tcW w:w="5400" w:type="dxa"/>
          </w:tcPr>
          <w:p w14:paraId="1970DE33" w14:textId="77777777" w:rsidR="007A3D3A" w:rsidRPr="0076238C" w:rsidRDefault="007A3D3A" w:rsidP="00B6224B">
            <w:pPr>
              <w:pStyle w:val="ProductList-OfferingBody"/>
              <w:jc w:val="center"/>
            </w:pPr>
            <w:r>
              <w:t>10 %</w:t>
            </w:r>
          </w:p>
        </w:tc>
      </w:tr>
      <w:tr w:rsidR="007A3D3A" w:rsidRPr="002928A2" w14:paraId="3AC25FC7" w14:textId="77777777" w:rsidTr="007B4942">
        <w:tc>
          <w:tcPr>
            <w:tcW w:w="5400" w:type="dxa"/>
          </w:tcPr>
          <w:p w14:paraId="69E7D149" w14:textId="77777777" w:rsidR="007A3D3A" w:rsidRPr="0076238C" w:rsidRDefault="007A3D3A" w:rsidP="00B6224B">
            <w:pPr>
              <w:pStyle w:val="ProductList-OfferingBody"/>
              <w:jc w:val="center"/>
            </w:pPr>
            <w:r>
              <w:t>&lt; 99 %</w:t>
            </w:r>
          </w:p>
        </w:tc>
        <w:tc>
          <w:tcPr>
            <w:tcW w:w="5400" w:type="dxa"/>
          </w:tcPr>
          <w:p w14:paraId="7D54D6D3" w14:textId="77777777" w:rsidR="007A3D3A" w:rsidRDefault="007A3D3A" w:rsidP="00B6224B">
            <w:pPr>
              <w:pStyle w:val="ProductList-OfferingBody"/>
              <w:jc w:val="center"/>
            </w:pPr>
            <w:r>
              <w:t>25 %</w:t>
            </w:r>
          </w:p>
        </w:tc>
      </w:tr>
    </w:tbl>
    <w:bookmarkStart w:id="115" w:name="_Toc484160735"/>
    <w:p w14:paraId="3B4F73A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81B042F" w14:textId="77777777" w:rsidR="00980B3D" w:rsidRPr="00DE201A" w:rsidRDefault="00980B3D" w:rsidP="00B6224B">
      <w:pPr>
        <w:pStyle w:val="ProductList-Offering2Heading"/>
        <w:tabs>
          <w:tab w:val="clear" w:pos="360"/>
          <w:tab w:val="clear" w:pos="720"/>
          <w:tab w:val="clear" w:pos="1080"/>
        </w:tabs>
        <w:outlineLvl w:val="2"/>
      </w:pPr>
      <w:bookmarkStart w:id="116" w:name="_Toc65680431"/>
      <w:r>
        <w:t>Power BI Premium</w:t>
      </w:r>
      <w:bookmarkEnd w:id="115"/>
      <w:bookmarkEnd w:id="116"/>
    </w:p>
    <w:p w14:paraId="4F7C6C05" w14:textId="77777777" w:rsidR="00980B3D" w:rsidRPr="00DE201A" w:rsidRDefault="00980B3D" w:rsidP="00B6224B">
      <w:pPr>
        <w:pStyle w:val="ProductList-Body"/>
      </w:pPr>
      <w:r w:rsidRPr="00426103">
        <w:t>«</w:t>
      </w:r>
      <w:r>
        <w:t> </w:t>
      </w:r>
      <w:r>
        <w:rPr>
          <w:b/>
          <w:color w:val="00188F"/>
        </w:rPr>
        <w:t>Capacité</w:t>
      </w:r>
      <w:r>
        <w:t> </w:t>
      </w:r>
      <w:r w:rsidRPr="00426103">
        <w:t>»</w:t>
      </w:r>
      <w:r>
        <w:t xml:space="preserve"> désigne une capacité nommée fournie par un administrateur via le portail d’administration de la capacité Power BI Premium. Une Capacité est un groupement d’un ou plusieurs nœuds.</w:t>
      </w:r>
    </w:p>
    <w:p w14:paraId="7348D9B3" w14:textId="77777777" w:rsidR="00980B3D" w:rsidRPr="00DE201A" w:rsidRDefault="00980B3D"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une Capacité donnée a été instanciée au cours d’un mois de facturation dans un tenant donné.</w:t>
      </w:r>
    </w:p>
    <w:p w14:paraId="4CD498B8" w14:textId="77777777" w:rsidR="00980B3D" w:rsidRPr="00DE201A" w:rsidRDefault="00980B3D" w:rsidP="00B6224B">
      <w:pPr>
        <w:pStyle w:val="ProductList-Body"/>
      </w:pPr>
    </w:p>
    <w:p w14:paraId="12F3ABE1" w14:textId="77777777" w:rsidR="00980B3D" w:rsidRPr="00DE201A" w:rsidRDefault="00980B3D" w:rsidP="00B6224B">
      <w:pPr>
        <w:pStyle w:val="ProductList-Body"/>
      </w:pPr>
      <w:r>
        <w:rPr>
          <w:b/>
          <w:color w:val="00188F"/>
        </w:rPr>
        <w:t>Temps d’Indisponibilité</w:t>
      </w:r>
      <w:r>
        <w:t> </w:t>
      </w:r>
      <w:r w:rsidRPr="006E70DE">
        <w:rPr>
          <w:bCs/>
        </w:rPr>
        <w:t>:</w:t>
      </w:r>
      <w:r>
        <w:t xml:space="preserve"> d</w:t>
      </w:r>
      <w:r>
        <w:rPr>
          <w:szCs w:val="18"/>
        </w:rPr>
        <w:t>ésigne, pour une Capacité donnée, le nombre total de minutes accumulées pendant lesquelles cette capacité n’est pas disponible au cours d’un mois de facturation. Une minute est comptabilisée dans le Temps d’Indisponibilité d’une Capacité lorsque toutes les tentatives pour visionner les rapports ou les tableaux de bord Power BI au cours de cette minute échouent en raison d’erreurs système.</w:t>
      </w:r>
    </w:p>
    <w:p w14:paraId="291592D5" w14:textId="77777777" w:rsidR="00980B3D" w:rsidRPr="00DE201A" w:rsidRDefault="00980B3D" w:rsidP="00B6224B">
      <w:pPr>
        <w:pStyle w:val="ProductList-Body"/>
      </w:pPr>
    </w:p>
    <w:p w14:paraId="3BAEC2C8" w14:textId="13C00311" w:rsidR="00980B3D" w:rsidRDefault="00980B3D"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8426D34" w14:textId="77777777" w:rsidR="002928A2" w:rsidRPr="00DE201A" w:rsidRDefault="002928A2" w:rsidP="00B6224B">
      <w:pPr>
        <w:pStyle w:val="ProductList-Body"/>
      </w:pPr>
    </w:p>
    <w:p w14:paraId="3A733E7C" w14:textId="77777777" w:rsidR="00980B3D" w:rsidRPr="003D7764" w:rsidRDefault="00065349" w:rsidP="00B6224B">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7230EDFD" w14:textId="77777777" w:rsidR="00980B3D" w:rsidRPr="00DE201A" w:rsidRDefault="00980B3D" w:rsidP="00B6224B">
      <w:pPr>
        <w:pStyle w:val="ProductList-Body"/>
      </w:pPr>
      <w:r>
        <w:rPr>
          <w:szCs w:val="18"/>
        </w:rP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A270609" w14:textId="77777777" w:rsidR="00980B3D" w:rsidRPr="00DE201A" w:rsidRDefault="00980B3D" w:rsidP="00B6224B">
      <w:pPr>
        <w:pStyle w:val="ProductList-Body"/>
      </w:pPr>
    </w:p>
    <w:p w14:paraId="261F5C51" w14:textId="77777777" w:rsidR="00980B3D" w:rsidRPr="00DE201A" w:rsidRDefault="00980B3D"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1FA7F42C" w14:textId="77777777" w:rsidTr="00600023">
        <w:trPr>
          <w:tblHeader/>
        </w:trPr>
        <w:tc>
          <w:tcPr>
            <w:tcW w:w="5400" w:type="dxa"/>
            <w:shd w:val="clear" w:color="auto" w:fill="0072C6"/>
          </w:tcPr>
          <w:p w14:paraId="1C254920" w14:textId="77777777" w:rsidR="00980B3D" w:rsidRPr="001A0074" w:rsidRDefault="00980B3D"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D72FEDB" w14:textId="77777777" w:rsidR="00980B3D" w:rsidRPr="001A0074" w:rsidRDefault="00980B3D" w:rsidP="00B6224B">
            <w:pPr>
              <w:pStyle w:val="ProductList-OfferingBody"/>
              <w:jc w:val="center"/>
              <w:rPr>
                <w:color w:val="FFFFFF" w:themeColor="background1"/>
              </w:rPr>
            </w:pPr>
            <w:r>
              <w:rPr>
                <w:color w:val="FFFFFF" w:themeColor="background1"/>
              </w:rPr>
              <w:t>Avoir Service</w:t>
            </w:r>
          </w:p>
        </w:tc>
      </w:tr>
      <w:tr w:rsidR="00980B3D" w:rsidRPr="002928A2" w14:paraId="62263A18" w14:textId="77777777" w:rsidTr="00600023">
        <w:tc>
          <w:tcPr>
            <w:tcW w:w="5400" w:type="dxa"/>
          </w:tcPr>
          <w:p w14:paraId="094F02F2" w14:textId="77777777" w:rsidR="00980B3D" w:rsidRPr="0076238C" w:rsidRDefault="00980B3D" w:rsidP="00B6224B">
            <w:pPr>
              <w:pStyle w:val="ProductList-OfferingBody"/>
              <w:jc w:val="center"/>
            </w:pPr>
            <w:r>
              <w:t>&lt; 99,9 %</w:t>
            </w:r>
          </w:p>
        </w:tc>
        <w:tc>
          <w:tcPr>
            <w:tcW w:w="5400" w:type="dxa"/>
          </w:tcPr>
          <w:p w14:paraId="3730B1EA" w14:textId="77777777" w:rsidR="00980B3D" w:rsidRPr="0076238C" w:rsidRDefault="00980B3D" w:rsidP="00B6224B">
            <w:pPr>
              <w:pStyle w:val="ProductList-OfferingBody"/>
              <w:jc w:val="center"/>
            </w:pPr>
            <w:r>
              <w:t>10 %</w:t>
            </w:r>
          </w:p>
        </w:tc>
      </w:tr>
      <w:tr w:rsidR="00980B3D" w:rsidRPr="002928A2" w14:paraId="335A40FF" w14:textId="77777777" w:rsidTr="00600023">
        <w:tc>
          <w:tcPr>
            <w:tcW w:w="5400" w:type="dxa"/>
          </w:tcPr>
          <w:p w14:paraId="6F8F8D9F" w14:textId="77777777" w:rsidR="00980B3D" w:rsidRPr="0076238C" w:rsidRDefault="00980B3D" w:rsidP="00B6224B">
            <w:pPr>
              <w:pStyle w:val="ProductList-OfferingBody"/>
              <w:jc w:val="center"/>
            </w:pPr>
            <w:r>
              <w:t>&lt; 99 %</w:t>
            </w:r>
          </w:p>
        </w:tc>
        <w:tc>
          <w:tcPr>
            <w:tcW w:w="5400" w:type="dxa"/>
          </w:tcPr>
          <w:p w14:paraId="713903F8" w14:textId="77777777" w:rsidR="00980B3D" w:rsidRPr="0076238C" w:rsidRDefault="00980B3D" w:rsidP="00B6224B">
            <w:pPr>
              <w:pStyle w:val="ProductList-OfferingBody"/>
              <w:jc w:val="center"/>
            </w:pPr>
            <w:r>
              <w:t>25 %</w:t>
            </w:r>
          </w:p>
        </w:tc>
      </w:tr>
    </w:tbl>
    <w:p w14:paraId="72147993" w14:textId="77777777" w:rsidR="009C340C" w:rsidRPr="00FB368F" w:rsidRDefault="00065349"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30F133" w14:textId="400CAB2D" w:rsidR="00515EF4" w:rsidRPr="008E64FF" w:rsidRDefault="00515EF4" w:rsidP="00B6224B">
      <w:pPr>
        <w:pStyle w:val="ProductList-Offering2Heading"/>
        <w:tabs>
          <w:tab w:val="clear" w:pos="360"/>
          <w:tab w:val="clear" w:pos="720"/>
          <w:tab w:val="clear" w:pos="1080"/>
        </w:tabs>
        <w:outlineLvl w:val="2"/>
        <w:rPr>
          <w:lang w:eastAsia="en-US" w:bidi="ar-SA"/>
        </w:rPr>
      </w:pPr>
      <w:bookmarkStart w:id="117" w:name="_Toc65680432"/>
      <w:r w:rsidRPr="008E64FF">
        <w:rPr>
          <w:lang w:eastAsia="en-US" w:bidi="ar-SA"/>
        </w:rPr>
        <w:t xml:space="preserve">Power BI </w:t>
      </w:r>
      <w:r w:rsidR="00712939">
        <w:rPr>
          <w:lang w:eastAsia="en-US" w:bidi="ar-SA"/>
        </w:rPr>
        <w:t>Pro</w:t>
      </w:r>
      <w:bookmarkEnd w:id="117"/>
    </w:p>
    <w:p w14:paraId="1FA2333B" w14:textId="68026B64" w:rsidR="00515EF4" w:rsidRPr="00FB368F" w:rsidRDefault="00515EF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2928A2" w:rsidRDefault="00515EF4" w:rsidP="00B6224B">
      <w:pPr>
        <w:pStyle w:val="ProductList-Body"/>
        <w:rPr>
          <w:szCs w:val="18"/>
        </w:rPr>
      </w:pPr>
    </w:p>
    <w:p w14:paraId="49ECCD62" w14:textId="3FDED217" w:rsidR="00515EF4" w:rsidRPr="002928A2" w:rsidRDefault="00515EF4" w:rsidP="00B6224B">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8FFA33" w14:textId="77777777" w:rsidR="00515EF4" w:rsidRPr="002928A2" w:rsidRDefault="00515EF4" w:rsidP="00B6224B">
      <w:pPr>
        <w:pStyle w:val="ProductList-Body"/>
        <w:rPr>
          <w:szCs w:val="18"/>
        </w:rPr>
      </w:pPr>
    </w:p>
    <w:p w14:paraId="5A7E48F2" w14:textId="2D41E2CA" w:rsidR="00515EF4" w:rsidRPr="002928A2" w:rsidRDefault="00065349"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4732EE" w:rsidRDefault="00515EF4" w:rsidP="00B6224B">
      <w:pPr>
        <w:pStyle w:val="ProductList-Body"/>
        <w:rPr>
          <w:szCs w:val="18"/>
        </w:rPr>
      </w:pPr>
    </w:p>
    <w:p w14:paraId="2865395D" w14:textId="77777777" w:rsidR="00515EF4" w:rsidRPr="00FB368F" w:rsidRDefault="00515EF4" w:rsidP="007F033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3344F223" w14:textId="77777777" w:rsidTr="00183F48">
        <w:trPr>
          <w:tblHeader/>
        </w:trPr>
        <w:tc>
          <w:tcPr>
            <w:tcW w:w="5400" w:type="dxa"/>
            <w:shd w:val="clear" w:color="auto" w:fill="0072C6"/>
          </w:tcPr>
          <w:p w14:paraId="4E5673E9"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280D4F83" w14:textId="77777777" w:rsidTr="00183F48">
        <w:tc>
          <w:tcPr>
            <w:tcW w:w="5400" w:type="dxa"/>
          </w:tcPr>
          <w:p w14:paraId="7709E7BA" w14:textId="21217632" w:rsidR="00515EF4" w:rsidRPr="0076238C" w:rsidRDefault="00515EF4" w:rsidP="00B6224B">
            <w:pPr>
              <w:pStyle w:val="ProductList-OfferingBody"/>
              <w:jc w:val="center"/>
            </w:pPr>
            <w:r>
              <w:t>&lt; 99,9 %</w:t>
            </w:r>
          </w:p>
        </w:tc>
        <w:tc>
          <w:tcPr>
            <w:tcW w:w="5400" w:type="dxa"/>
          </w:tcPr>
          <w:p w14:paraId="520BC18E" w14:textId="6E61E214" w:rsidR="00515EF4" w:rsidRPr="0076238C" w:rsidRDefault="00515EF4" w:rsidP="00B6224B">
            <w:pPr>
              <w:pStyle w:val="ProductList-OfferingBody"/>
              <w:jc w:val="center"/>
            </w:pPr>
            <w:r>
              <w:t>25</w:t>
            </w:r>
            <w:r w:rsidR="00427BA8">
              <w:t xml:space="preserve"> </w:t>
            </w:r>
            <w:r>
              <w:t>%</w:t>
            </w:r>
          </w:p>
        </w:tc>
      </w:tr>
      <w:tr w:rsidR="00515EF4" w:rsidRPr="002928A2" w14:paraId="770309F5" w14:textId="77777777" w:rsidTr="00183F48">
        <w:tc>
          <w:tcPr>
            <w:tcW w:w="5400" w:type="dxa"/>
          </w:tcPr>
          <w:p w14:paraId="21B00FC9" w14:textId="1BC0291E" w:rsidR="00515EF4" w:rsidRPr="0076238C" w:rsidRDefault="00515EF4" w:rsidP="00B6224B">
            <w:pPr>
              <w:pStyle w:val="ProductList-OfferingBody"/>
              <w:jc w:val="center"/>
            </w:pPr>
            <w:r>
              <w:t>&lt; 99 %</w:t>
            </w:r>
          </w:p>
        </w:tc>
        <w:tc>
          <w:tcPr>
            <w:tcW w:w="5400" w:type="dxa"/>
          </w:tcPr>
          <w:p w14:paraId="7A5A5886" w14:textId="3C2B1858" w:rsidR="00515EF4" w:rsidRPr="0076238C" w:rsidRDefault="00515EF4" w:rsidP="00B6224B">
            <w:pPr>
              <w:pStyle w:val="ProductList-OfferingBody"/>
              <w:jc w:val="center"/>
            </w:pPr>
            <w:r>
              <w:t>50</w:t>
            </w:r>
            <w:r w:rsidR="00427BA8">
              <w:t xml:space="preserve"> </w:t>
            </w:r>
            <w:r>
              <w:t>%</w:t>
            </w:r>
          </w:p>
        </w:tc>
      </w:tr>
      <w:tr w:rsidR="00515EF4" w:rsidRPr="002928A2" w14:paraId="40F5B3FA" w14:textId="77777777" w:rsidTr="00183F48">
        <w:tc>
          <w:tcPr>
            <w:tcW w:w="5400" w:type="dxa"/>
          </w:tcPr>
          <w:p w14:paraId="4AA1F0D1" w14:textId="35F62C48" w:rsidR="00515EF4" w:rsidRPr="0076238C" w:rsidRDefault="00515EF4" w:rsidP="00B6224B">
            <w:pPr>
              <w:pStyle w:val="ProductList-OfferingBody"/>
              <w:jc w:val="center"/>
            </w:pPr>
            <w:r>
              <w:t>&lt; 95 %</w:t>
            </w:r>
          </w:p>
        </w:tc>
        <w:tc>
          <w:tcPr>
            <w:tcW w:w="5400" w:type="dxa"/>
          </w:tcPr>
          <w:p w14:paraId="41A062A9" w14:textId="5C51C434" w:rsidR="00515EF4" w:rsidRDefault="00515EF4" w:rsidP="00B6224B">
            <w:pPr>
              <w:pStyle w:val="ProductList-OfferingBody"/>
              <w:jc w:val="center"/>
            </w:pPr>
            <w:r>
              <w:t>100</w:t>
            </w:r>
            <w:r w:rsidR="00427BA8">
              <w:t xml:space="preserve"> </w:t>
            </w:r>
            <w:r>
              <w:t>%</w:t>
            </w:r>
          </w:p>
        </w:tc>
      </w:tr>
    </w:tbl>
    <w:p w14:paraId="1688E72E" w14:textId="77777777" w:rsidR="009C340C" w:rsidRPr="00FB368F" w:rsidRDefault="00065349"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137B2B" w14:textId="21525A75" w:rsidR="00515EF4" w:rsidRPr="005A6CF1" w:rsidRDefault="00515EF4" w:rsidP="00B6224B">
      <w:pPr>
        <w:pStyle w:val="ProductList-Offering2Heading"/>
        <w:tabs>
          <w:tab w:val="clear" w:pos="360"/>
          <w:tab w:val="clear" w:pos="720"/>
          <w:tab w:val="clear" w:pos="1080"/>
        </w:tabs>
        <w:outlineLvl w:val="2"/>
        <w:rPr>
          <w:lang w:val="en-US" w:eastAsia="en-US" w:bidi="ar-SA"/>
        </w:rPr>
      </w:pPr>
      <w:bookmarkStart w:id="118" w:name="_Toc65680433"/>
      <w:r w:rsidRPr="005A6CF1">
        <w:rPr>
          <w:lang w:val="en-US" w:eastAsia="en-US" w:bidi="ar-SA"/>
        </w:rPr>
        <w:t>API Translator</w:t>
      </w:r>
      <w:bookmarkEnd w:id="118"/>
    </w:p>
    <w:p w14:paraId="0D68E64F" w14:textId="2FB2346F" w:rsidR="00515EF4" w:rsidRPr="00FB368F" w:rsidRDefault="00515EF4" w:rsidP="00B6224B">
      <w:pPr>
        <w:pStyle w:val="ProductList-Body"/>
      </w:pPr>
      <w:r>
        <w:rPr>
          <w:b/>
          <w:color w:val="00188F"/>
        </w:rPr>
        <w:t>Temps d’Indisponibilité</w:t>
      </w:r>
      <w:r>
        <w:t> </w:t>
      </w:r>
      <w:r w:rsidRPr="006E70DE">
        <w:t>:</w:t>
      </w:r>
      <w:r>
        <w:t xml:space="preserve"> </w:t>
      </w:r>
      <w:r>
        <w:rPr>
          <w:szCs w:val="18"/>
        </w:rPr>
        <w:t>toute période au cours de laquelle les utilisateurs ne peuvent pas effectuer des traductions.</w:t>
      </w:r>
    </w:p>
    <w:p w14:paraId="0C581555" w14:textId="77777777" w:rsidR="00515EF4" w:rsidRPr="002928A2" w:rsidRDefault="00515EF4" w:rsidP="00B6224B">
      <w:pPr>
        <w:pStyle w:val="ProductList-Body"/>
        <w:rPr>
          <w:szCs w:val="18"/>
        </w:rPr>
      </w:pPr>
    </w:p>
    <w:p w14:paraId="2A370CEF" w14:textId="62924BB5" w:rsidR="00515EF4" w:rsidRPr="002928A2" w:rsidRDefault="00515EF4" w:rsidP="00B6224B">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F8095D" w14:textId="77777777" w:rsidR="00515EF4" w:rsidRPr="002928A2" w:rsidRDefault="00515EF4" w:rsidP="00B6224B">
      <w:pPr>
        <w:pStyle w:val="ProductList-Body"/>
        <w:rPr>
          <w:szCs w:val="18"/>
        </w:rPr>
      </w:pPr>
    </w:p>
    <w:p w14:paraId="728BF4C5" w14:textId="5F470366" w:rsidR="00515EF4" w:rsidRPr="002928A2" w:rsidRDefault="00065349"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B6224B">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4732EE" w:rsidRDefault="00515EF4" w:rsidP="00B6224B">
      <w:pPr>
        <w:pStyle w:val="ProductList-Body"/>
        <w:rPr>
          <w:szCs w:val="18"/>
        </w:rPr>
      </w:pPr>
    </w:p>
    <w:p w14:paraId="1A614EB8"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6B78A827" w14:textId="77777777" w:rsidTr="00183F48">
        <w:trPr>
          <w:tblHeader/>
        </w:trPr>
        <w:tc>
          <w:tcPr>
            <w:tcW w:w="5400" w:type="dxa"/>
            <w:shd w:val="clear" w:color="auto" w:fill="0072C6"/>
          </w:tcPr>
          <w:p w14:paraId="2215AAC8"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710135BB" w14:textId="77777777" w:rsidTr="00183F48">
        <w:tc>
          <w:tcPr>
            <w:tcW w:w="5400" w:type="dxa"/>
          </w:tcPr>
          <w:p w14:paraId="0ED7D057" w14:textId="400D8B77" w:rsidR="00515EF4" w:rsidRPr="0076238C" w:rsidRDefault="00515EF4" w:rsidP="00B6224B">
            <w:pPr>
              <w:pStyle w:val="ProductList-OfferingBody"/>
              <w:jc w:val="center"/>
            </w:pPr>
            <w:r>
              <w:t>&lt; 99,9 %</w:t>
            </w:r>
          </w:p>
        </w:tc>
        <w:tc>
          <w:tcPr>
            <w:tcW w:w="5400" w:type="dxa"/>
          </w:tcPr>
          <w:p w14:paraId="086049F0" w14:textId="14FFAB02" w:rsidR="00515EF4" w:rsidRPr="0076238C" w:rsidRDefault="00515EF4" w:rsidP="00B6224B">
            <w:pPr>
              <w:pStyle w:val="ProductList-OfferingBody"/>
              <w:jc w:val="center"/>
            </w:pPr>
            <w:r>
              <w:t>25</w:t>
            </w:r>
            <w:r w:rsidR="0064249B">
              <w:t xml:space="preserve"> </w:t>
            </w:r>
            <w:r>
              <w:t>%</w:t>
            </w:r>
          </w:p>
        </w:tc>
      </w:tr>
      <w:tr w:rsidR="00515EF4" w:rsidRPr="002928A2" w14:paraId="44B63A37" w14:textId="77777777" w:rsidTr="00183F48">
        <w:tc>
          <w:tcPr>
            <w:tcW w:w="5400" w:type="dxa"/>
          </w:tcPr>
          <w:p w14:paraId="567733F4" w14:textId="62AC2EBE" w:rsidR="00515EF4" w:rsidRPr="0076238C" w:rsidRDefault="00515EF4" w:rsidP="00B6224B">
            <w:pPr>
              <w:pStyle w:val="ProductList-OfferingBody"/>
              <w:jc w:val="center"/>
            </w:pPr>
            <w:r>
              <w:t>&lt; 99 %</w:t>
            </w:r>
          </w:p>
        </w:tc>
        <w:tc>
          <w:tcPr>
            <w:tcW w:w="5400" w:type="dxa"/>
          </w:tcPr>
          <w:p w14:paraId="3610FC92" w14:textId="2F501DC8" w:rsidR="00515EF4" w:rsidRPr="0076238C" w:rsidRDefault="00515EF4" w:rsidP="00B6224B">
            <w:pPr>
              <w:pStyle w:val="ProductList-OfferingBody"/>
              <w:jc w:val="center"/>
            </w:pPr>
            <w:r>
              <w:t>50</w:t>
            </w:r>
            <w:r w:rsidR="0064249B">
              <w:t xml:space="preserve"> </w:t>
            </w:r>
            <w:r>
              <w:t>%</w:t>
            </w:r>
          </w:p>
        </w:tc>
      </w:tr>
      <w:tr w:rsidR="00515EF4" w:rsidRPr="002928A2" w14:paraId="5F2E73BA" w14:textId="77777777" w:rsidTr="00183F48">
        <w:tc>
          <w:tcPr>
            <w:tcW w:w="5400" w:type="dxa"/>
          </w:tcPr>
          <w:p w14:paraId="1DE42D45" w14:textId="028A190D" w:rsidR="00515EF4" w:rsidRPr="0076238C" w:rsidRDefault="00515EF4" w:rsidP="00B6224B">
            <w:pPr>
              <w:pStyle w:val="ProductList-OfferingBody"/>
              <w:jc w:val="center"/>
            </w:pPr>
            <w:r>
              <w:t>&lt; 95 %</w:t>
            </w:r>
          </w:p>
        </w:tc>
        <w:tc>
          <w:tcPr>
            <w:tcW w:w="5400" w:type="dxa"/>
          </w:tcPr>
          <w:p w14:paraId="55A96903" w14:textId="2F934205" w:rsidR="00515EF4" w:rsidRDefault="00515EF4" w:rsidP="00B6224B">
            <w:pPr>
              <w:pStyle w:val="ProductList-OfferingBody"/>
              <w:jc w:val="center"/>
            </w:pPr>
            <w:r>
              <w:t>100</w:t>
            </w:r>
            <w:r w:rsidR="0064249B">
              <w:t xml:space="preserve"> </w:t>
            </w:r>
            <w:r>
              <w:t>%</w:t>
            </w:r>
          </w:p>
        </w:tc>
      </w:tr>
    </w:tbl>
    <w:bookmarkStart w:id="119" w:name="_Toc457821597"/>
    <w:bookmarkStart w:id="120" w:name="_Toc465333785"/>
    <w:bookmarkStart w:id="121" w:name="_Toc464226363"/>
    <w:p w14:paraId="1D197D0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4EFABB4" w14:textId="77777777" w:rsidR="004732EE" w:rsidRPr="00D25762" w:rsidRDefault="004732EE" w:rsidP="00D25762">
      <w:pPr>
        <w:pStyle w:val="ProductList-Offering2Heading"/>
        <w:tabs>
          <w:tab w:val="clear" w:pos="360"/>
          <w:tab w:val="clear" w:pos="720"/>
          <w:tab w:val="clear" w:pos="1080"/>
        </w:tabs>
        <w:outlineLvl w:val="2"/>
        <w:rPr>
          <w:lang w:val="en-US" w:eastAsia="en-US" w:bidi="ar-SA"/>
        </w:rPr>
      </w:pPr>
      <w:bookmarkStart w:id="122" w:name="_Toc13833097"/>
      <w:bookmarkStart w:id="123" w:name="_Toc55920329"/>
      <w:bookmarkStart w:id="124" w:name="_Toc65680434"/>
      <w:bookmarkEnd w:id="119"/>
      <w:bookmarkEnd w:id="120"/>
      <w:bookmarkEnd w:id="121"/>
      <w:r w:rsidRPr="00D25762">
        <w:rPr>
          <w:lang w:val="en-US" w:eastAsia="en-US" w:bidi="ar-SA"/>
        </w:rPr>
        <w:t xml:space="preserve">Microsoft Defender </w:t>
      </w:r>
      <w:bookmarkEnd w:id="122"/>
      <w:r w:rsidRPr="00D25762">
        <w:rPr>
          <w:lang w:val="en-US" w:eastAsia="en-US" w:bidi="ar-SA"/>
        </w:rPr>
        <w:t xml:space="preserve">pour point de </w:t>
      </w:r>
      <w:proofErr w:type="spellStart"/>
      <w:r w:rsidRPr="00D25762">
        <w:rPr>
          <w:lang w:val="en-US" w:eastAsia="en-US" w:bidi="ar-SA"/>
        </w:rPr>
        <w:t>terminaison</w:t>
      </w:r>
      <w:bookmarkEnd w:id="123"/>
      <w:bookmarkEnd w:id="124"/>
      <w:proofErr w:type="spellEnd"/>
    </w:p>
    <w:p w14:paraId="099AEA41" w14:textId="77777777" w:rsidR="004732EE" w:rsidRPr="00DC4F88" w:rsidRDefault="004732EE" w:rsidP="004732EE">
      <w:pPr>
        <w:tabs>
          <w:tab w:val="left" w:pos="360"/>
          <w:tab w:val="left" w:pos="720"/>
          <w:tab w:val="left" w:pos="1080"/>
        </w:tabs>
        <w:spacing w:after="0" w:line="240" w:lineRule="auto"/>
      </w:pPr>
      <w:r>
        <w:rPr>
          <w:rFonts w:ascii="Calibri" w:eastAsia="Calibri" w:hAnsi="Calibri" w:cs="Arial"/>
          <w:b/>
          <w:color w:val="00188F"/>
          <w:sz w:val="18"/>
        </w:rPr>
        <w:t>Définitions Supplémentaires</w:t>
      </w:r>
      <w:r>
        <w:rPr>
          <w:rFonts w:ascii="Calibri" w:eastAsia="Calibri" w:hAnsi="Calibri" w:cs="Arial"/>
          <w:sz w:val="18"/>
        </w:rPr>
        <w:t> </w:t>
      </w:r>
      <w:r w:rsidRPr="00F10035">
        <w:rPr>
          <w:rFonts w:ascii="Calibri" w:eastAsia="Calibri" w:hAnsi="Calibri" w:cs="Arial"/>
          <w:b/>
          <w:bCs/>
          <w:sz w:val="18"/>
        </w:rPr>
        <w:t>:</w:t>
      </w:r>
    </w:p>
    <w:p w14:paraId="171970EB" w14:textId="77777777" w:rsidR="004732EE" w:rsidRPr="00DC4F88" w:rsidRDefault="004732EE" w:rsidP="004732EE">
      <w:pPr>
        <w:tabs>
          <w:tab w:val="left" w:pos="360"/>
          <w:tab w:val="left" w:pos="720"/>
          <w:tab w:val="left" w:pos="1080"/>
        </w:tabs>
        <w:spacing w:after="40" w:line="240" w:lineRule="auto"/>
      </w:pP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 désigne le nombre total de minutes cumulées au cours d’un mois de facturation pour le portail Microsoft Defender pour point de terminaison. Ce nombre est calculé à partir de la création du Tenant résultant de la réussite du processus d’intégration.</w:t>
      </w:r>
    </w:p>
    <w:p w14:paraId="460DAEC7" w14:textId="77777777" w:rsidR="004732EE" w:rsidRPr="00DC4F88" w:rsidRDefault="004732EE" w:rsidP="004732EE">
      <w:pPr>
        <w:tabs>
          <w:tab w:val="left" w:pos="360"/>
          <w:tab w:val="left" w:pos="720"/>
          <w:tab w:val="left" w:pos="1080"/>
        </w:tabs>
        <w:spacing w:after="0" w:line="240" w:lineRule="auto"/>
      </w:pPr>
      <w:r>
        <w:rPr>
          <w:rFonts w:ascii="Calibri" w:eastAsia="Calibri" w:hAnsi="Calibri" w:cs="Arial"/>
          <w:sz w:val="18"/>
        </w:rPr>
        <w:t>« </w:t>
      </w:r>
      <w:r>
        <w:rPr>
          <w:rFonts w:ascii="Calibri" w:eastAsia="Calibri" w:hAnsi="Calibri" w:cs="Arial"/>
          <w:b/>
          <w:color w:val="00188F"/>
          <w:sz w:val="18"/>
        </w:rPr>
        <w:t>Tenant</w:t>
      </w:r>
      <w:r>
        <w:rPr>
          <w:rFonts w:ascii="Calibri" w:eastAsia="Calibri" w:hAnsi="Calibri" w:cs="Arial"/>
          <w:sz w:val="18"/>
        </w:rPr>
        <w:t> » désigne l’environnement cloud spécifique au client Microsoft Defender pour point de terminaison.</w:t>
      </w:r>
    </w:p>
    <w:p w14:paraId="15F6E61B" w14:textId="77777777" w:rsidR="004732EE" w:rsidRPr="004732EE" w:rsidRDefault="004732EE" w:rsidP="004732EE">
      <w:pPr>
        <w:tabs>
          <w:tab w:val="left" w:pos="360"/>
          <w:tab w:val="left" w:pos="720"/>
          <w:tab w:val="left" w:pos="1080"/>
        </w:tabs>
        <w:spacing w:after="0" w:line="240" w:lineRule="auto"/>
        <w:rPr>
          <w:sz w:val="18"/>
          <w:szCs w:val="18"/>
        </w:rPr>
      </w:pPr>
    </w:p>
    <w:p w14:paraId="422EA1B8" w14:textId="3BE65D2B" w:rsidR="00285B3D" w:rsidRPr="00EF7CF9" w:rsidRDefault="004732EE" w:rsidP="004732EE">
      <w:pPr>
        <w:pStyle w:val="ProductList-Body"/>
      </w:pPr>
      <w:r>
        <w:rPr>
          <w:rFonts w:ascii="Calibri" w:eastAsia="Calibri" w:hAnsi="Calibri" w:cs="Arial"/>
          <w:b/>
          <w:color w:val="00188F"/>
        </w:rPr>
        <w:lastRenderedPageBreak/>
        <w:t>Temps d’Indisponibilité</w:t>
      </w:r>
      <w:r>
        <w:rPr>
          <w:rFonts w:ascii="Calibri" w:eastAsia="Calibri" w:hAnsi="Calibri" w:cs="Arial"/>
        </w:rPr>
        <w:t> </w:t>
      </w:r>
      <w:r w:rsidRPr="00F10035">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nombre total de minutes cumulées parmi les Minutes Disponibles Maximum pendant lesquelles le Client n’a accès à aucune partie des collections de sites du portail Microsoft Defender pour point de terminaison pour lesquelles il dispose des autorisations requises et d’une licence active valable</w:t>
      </w:r>
      <w:r w:rsidR="00285B3D">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84D9B63" w14:textId="77777777" w:rsidR="002D1207" w:rsidRPr="008A0BD0" w:rsidRDefault="002D1207" w:rsidP="002D1207">
      <w:pPr>
        <w:pStyle w:val="ProductList-Body"/>
      </w:pPr>
    </w:p>
    <w:p w14:paraId="044F11EA" w14:textId="77777777" w:rsidR="002D1207" w:rsidRPr="002928A2" w:rsidRDefault="00065349" w:rsidP="002D120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2928A2"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2928A2"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2928A2"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6E70DE">
        <w:t>:</w:t>
      </w:r>
      <w:r>
        <w:t xml:space="preserve"> Ce Contrat de Niveau de Service ne s’applique pas aux Tenants dans le cadre de version d’évaluation.</w:t>
      </w:r>
    </w:p>
    <w:p w14:paraId="1E903074" w14:textId="77777777" w:rsidR="009C340C" w:rsidRPr="00FB368F" w:rsidRDefault="0006534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C6099DB" w14:textId="77777777" w:rsidR="00FA095E" w:rsidRPr="00EF7CF9" w:rsidRDefault="00FA095E" w:rsidP="00FA095E">
      <w:pPr>
        <w:pStyle w:val="ProductList-Offering2Heading"/>
        <w:outlineLvl w:val="2"/>
      </w:pPr>
      <w:bookmarkStart w:id="125" w:name="_Toc64891130"/>
      <w:bookmarkStart w:id="126" w:name="_Toc65680435"/>
      <w:r>
        <w:t xml:space="preserve">Universal </w:t>
      </w:r>
      <w:proofErr w:type="spellStart"/>
      <w:r>
        <w:t>Print</w:t>
      </w:r>
      <w:proofErr w:type="spellEnd"/>
      <w:r>
        <w:t xml:space="preserve"> (Impression universelle)</w:t>
      </w:r>
      <w:bookmarkEnd w:id="125"/>
      <w:bookmarkEnd w:id="126"/>
    </w:p>
    <w:p w14:paraId="50FB481D" w14:textId="77777777" w:rsidR="00FA095E" w:rsidRPr="00EF7CF9" w:rsidRDefault="00FA095E" w:rsidP="00FA095E">
      <w:pPr>
        <w:pStyle w:val="ProductList-Body"/>
      </w:pPr>
      <w:r>
        <w:rPr>
          <w:b/>
          <w:color w:val="00188F"/>
        </w:rPr>
        <w:t>Temps d’Indisponibilité</w:t>
      </w:r>
      <w:r>
        <w:t> </w:t>
      </w:r>
      <w:r w:rsidRPr="004E0202">
        <w:rPr>
          <w:b/>
          <w:bCs/>
        </w:rPr>
        <w:t>:</w:t>
      </w:r>
      <w:r>
        <w:t xml:space="preserve"> Toute période pendant laquelle l’indisponibilité du service Universal </w:t>
      </w:r>
      <w:proofErr w:type="spellStart"/>
      <w:r>
        <w:t>Print</w:t>
      </w:r>
      <w:proofErr w:type="spellEnd"/>
      <w:r>
        <w:t xml:space="preserve"> entraîne l’incapacité des utilisateurs à découvrir les imprimantes ou à soumettre des travaux d’impression, ou l’incapacité pour les administrateurs d’enregistrer ou de configurer des imprimantes, de gérer le contrôle d’accès ou de surveiller l’état et l’utilisation de Universal </w:t>
      </w:r>
      <w:proofErr w:type="spellStart"/>
      <w:r>
        <w:t>Print</w:t>
      </w:r>
      <w:proofErr w:type="spellEnd"/>
      <w:r>
        <w:t>.</w:t>
      </w:r>
    </w:p>
    <w:p w14:paraId="530A6D8E" w14:textId="77777777" w:rsidR="00FA095E" w:rsidRPr="00EF7CF9" w:rsidRDefault="00FA095E" w:rsidP="00FA095E">
      <w:pPr>
        <w:pStyle w:val="ProductList-Body"/>
      </w:pPr>
    </w:p>
    <w:p w14:paraId="5219C570" w14:textId="77777777" w:rsidR="00FA095E" w:rsidRPr="00EF7CF9" w:rsidRDefault="00FA095E" w:rsidP="00FA095E">
      <w:pPr>
        <w:pStyle w:val="ProductList-Body"/>
      </w:pPr>
      <w:r>
        <w:rPr>
          <w:b/>
          <w:color w:val="00188F"/>
        </w:rPr>
        <w:t>Pourcentage Mensuel de Temps de Disponibilité</w:t>
      </w:r>
      <w:r>
        <w:t> </w:t>
      </w:r>
      <w:r w:rsidRPr="004E0202">
        <w:rPr>
          <w:b/>
          <w:bCs/>
        </w:rPr>
        <w:t>:</w:t>
      </w:r>
      <w:r>
        <w:t xml:space="preserve"> le Pourcentage Mensuel de Temps de Disponibilité est calculé à l’aide de la formule suivante :</w:t>
      </w:r>
    </w:p>
    <w:p w14:paraId="41B84642" w14:textId="77777777" w:rsidR="00FA095E" w:rsidRPr="00EF7CF9" w:rsidRDefault="00FA095E" w:rsidP="00FA095E">
      <w:pPr>
        <w:pStyle w:val="ProductList-Body"/>
      </w:pPr>
    </w:p>
    <w:p w14:paraId="556C3362" w14:textId="77777777" w:rsidR="00FA095E" w:rsidRPr="00EF7CF9" w:rsidRDefault="00FA095E" w:rsidP="00FA095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32FC1589" w14:textId="77777777" w:rsidR="00FA095E" w:rsidRPr="00EF7CF9" w:rsidRDefault="00FA095E" w:rsidP="00FA095E">
      <w:pPr>
        <w:pStyle w:val="ProductList-Body"/>
        <w:rPr>
          <w:szCs w:val="18"/>
        </w:rPr>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D307EF" w14:textId="77777777" w:rsidR="00FA095E" w:rsidRPr="00EF7CF9" w:rsidRDefault="00FA095E" w:rsidP="00FA095E">
      <w:pPr>
        <w:pStyle w:val="ProductList-Body"/>
      </w:pPr>
    </w:p>
    <w:p w14:paraId="39E4032A" w14:textId="77777777" w:rsidR="00FA095E" w:rsidRPr="00EF7CF9" w:rsidRDefault="00FA095E" w:rsidP="00FA095E">
      <w:pPr>
        <w:pStyle w:val="ProductList-Body"/>
      </w:pPr>
      <w:r>
        <w:rPr>
          <w:b/>
          <w:color w:val="00188F"/>
        </w:rPr>
        <w:t>Avoir Service</w:t>
      </w:r>
      <w:r>
        <w:t> </w:t>
      </w:r>
      <w:r w:rsidRPr="004E020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095E" w:rsidRPr="00B44CF9" w14:paraId="45C1EF55" w14:textId="77777777" w:rsidTr="00417C02">
        <w:trPr>
          <w:tblHeader/>
        </w:trPr>
        <w:tc>
          <w:tcPr>
            <w:tcW w:w="5400" w:type="dxa"/>
            <w:shd w:val="clear" w:color="auto" w:fill="0072C6"/>
          </w:tcPr>
          <w:p w14:paraId="7B5A2398" w14:textId="77777777" w:rsidR="00FA095E" w:rsidRPr="00EF7CF9" w:rsidRDefault="00FA095E" w:rsidP="00417C02">
            <w:pPr>
              <w:pStyle w:val="ProductList-OfferingBody"/>
              <w:jc w:val="center"/>
              <w:rPr>
                <w:color w:val="FFFFFF" w:themeColor="background1"/>
              </w:rPr>
            </w:pPr>
            <w:r>
              <w:rPr>
                <w:color w:val="FFFFFF" w:themeColor="background1"/>
              </w:rPr>
              <w:t>Pourcentage Mensuel de Temps de Disponibilité</w:t>
            </w:r>
          </w:p>
        </w:tc>
        <w:tc>
          <w:tcPr>
            <w:tcW w:w="5400" w:type="dxa"/>
            <w:shd w:val="clear" w:color="auto" w:fill="0072C6"/>
          </w:tcPr>
          <w:p w14:paraId="4C14670B" w14:textId="77777777" w:rsidR="00FA095E" w:rsidRPr="00EF7CF9" w:rsidRDefault="00FA095E" w:rsidP="00417C02">
            <w:pPr>
              <w:pStyle w:val="ProductList-OfferingBody"/>
              <w:jc w:val="center"/>
              <w:rPr>
                <w:color w:val="FFFFFF" w:themeColor="background1"/>
              </w:rPr>
            </w:pPr>
            <w:r>
              <w:rPr>
                <w:color w:val="FFFFFF" w:themeColor="background1"/>
              </w:rPr>
              <w:t>Avoir Service</w:t>
            </w:r>
          </w:p>
        </w:tc>
      </w:tr>
      <w:tr w:rsidR="00FA095E" w:rsidRPr="00B44CF9" w14:paraId="0EB2CDF3" w14:textId="77777777" w:rsidTr="00417C02">
        <w:tc>
          <w:tcPr>
            <w:tcW w:w="5400" w:type="dxa"/>
          </w:tcPr>
          <w:p w14:paraId="3C075DA8" w14:textId="77777777" w:rsidR="00FA095E" w:rsidRPr="00EF7CF9" w:rsidRDefault="00FA095E" w:rsidP="00417C02">
            <w:pPr>
              <w:pStyle w:val="ProductList-OfferingBody"/>
              <w:jc w:val="center"/>
            </w:pPr>
            <w:r>
              <w:t>&lt; 99,9 %</w:t>
            </w:r>
          </w:p>
        </w:tc>
        <w:tc>
          <w:tcPr>
            <w:tcW w:w="5400" w:type="dxa"/>
          </w:tcPr>
          <w:p w14:paraId="01A0BE57" w14:textId="77777777" w:rsidR="00FA095E" w:rsidRPr="00EF7CF9" w:rsidRDefault="00FA095E" w:rsidP="00417C02">
            <w:pPr>
              <w:pStyle w:val="ProductList-OfferingBody"/>
              <w:jc w:val="center"/>
            </w:pPr>
            <w:r>
              <w:t>25 %</w:t>
            </w:r>
          </w:p>
        </w:tc>
      </w:tr>
      <w:tr w:rsidR="00FA095E" w:rsidRPr="00B44CF9" w14:paraId="6E551C98" w14:textId="77777777" w:rsidTr="00417C02">
        <w:tc>
          <w:tcPr>
            <w:tcW w:w="5400" w:type="dxa"/>
          </w:tcPr>
          <w:p w14:paraId="7C939B8C" w14:textId="77777777" w:rsidR="00FA095E" w:rsidRPr="00EF7CF9" w:rsidRDefault="00FA095E" w:rsidP="00417C02">
            <w:pPr>
              <w:pStyle w:val="ProductList-OfferingBody"/>
              <w:jc w:val="center"/>
            </w:pPr>
            <w:r>
              <w:t>&lt; 99 %</w:t>
            </w:r>
          </w:p>
        </w:tc>
        <w:tc>
          <w:tcPr>
            <w:tcW w:w="5400" w:type="dxa"/>
          </w:tcPr>
          <w:p w14:paraId="45C33F02" w14:textId="77777777" w:rsidR="00FA095E" w:rsidRPr="00EF7CF9" w:rsidRDefault="00FA095E" w:rsidP="00417C02">
            <w:pPr>
              <w:pStyle w:val="ProductList-OfferingBody"/>
              <w:keepNext/>
              <w:jc w:val="center"/>
            </w:pPr>
            <w:r>
              <w:t>50 %</w:t>
            </w:r>
          </w:p>
        </w:tc>
      </w:tr>
      <w:tr w:rsidR="00FA095E" w:rsidRPr="00B44CF9" w14:paraId="618A46EF" w14:textId="77777777" w:rsidTr="00417C02">
        <w:tc>
          <w:tcPr>
            <w:tcW w:w="5400" w:type="dxa"/>
          </w:tcPr>
          <w:p w14:paraId="5236F080" w14:textId="77777777" w:rsidR="00FA095E" w:rsidRPr="00EF7CF9" w:rsidRDefault="00FA095E" w:rsidP="00417C02">
            <w:pPr>
              <w:pStyle w:val="ProductList-OfferingBody"/>
              <w:jc w:val="center"/>
            </w:pPr>
            <w:r>
              <w:t>&lt; 95 %</w:t>
            </w:r>
          </w:p>
        </w:tc>
        <w:tc>
          <w:tcPr>
            <w:tcW w:w="5400" w:type="dxa"/>
          </w:tcPr>
          <w:p w14:paraId="20B52CF4" w14:textId="77777777" w:rsidR="00FA095E" w:rsidRDefault="00FA095E" w:rsidP="00417C02">
            <w:pPr>
              <w:pStyle w:val="ProductList-OfferingBody"/>
              <w:keepNext/>
              <w:jc w:val="center"/>
            </w:pPr>
            <w:r>
              <w:t>100 %</w:t>
            </w:r>
          </w:p>
        </w:tc>
      </w:tr>
    </w:tbl>
    <w:p w14:paraId="10D024CE" w14:textId="77777777" w:rsidR="00FA095E" w:rsidRPr="00EF7CF9" w:rsidRDefault="00FA095E" w:rsidP="00FA095E">
      <w:pPr>
        <w:pStyle w:val="ProductList-Body"/>
      </w:pPr>
    </w:p>
    <w:p w14:paraId="1C20AE7B" w14:textId="77777777" w:rsidR="00FA095E" w:rsidRDefault="00FA095E" w:rsidP="00FA095E">
      <w:pPr>
        <w:pStyle w:val="ProductList-Body"/>
      </w:pPr>
      <w:r>
        <w:rPr>
          <w:b/>
          <w:color w:val="00188F"/>
        </w:rPr>
        <w:t>Exceptions de Niveau de Service</w:t>
      </w:r>
      <w:r>
        <w:t> </w:t>
      </w:r>
      <w:r w:rsidRPr="004E0202">
        <w:rPr>
          <w:b/>
          <w:bCs/>
        </w:rPr>
        <w:t>:</w:t>
      </w:r>
      <w:r>
        <w:t xml:space="preserve"> Ce Contrat de Niveau de Service ne s’applique pas aux Tenants dans le cadre de version d’évaluation.</w:t>
      </w:r>
    </w:p>
    <w:p w14:paraId="57BF7982" w14:textId="77777777" w:rsidR="00FA095E" w:rsidRPr="00FB368F" w:rsidRDefault="00FA095E" w:rsidP="00FA095E">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17730105" w14:textId="77777777" w:rsidR="00FA095E" w:rsidRDefault="00FA095E" w:rsidP="002024BF">
      <w:pPr>
        <w:pStyle w:val="ProductList-Body"/>
        <w:tabs>
          <w:tab w:val="clear" w:pos="360"/>
          <w:tab w:val="clear" w:pos="720"/>
          <w:tab w:val="clear" w:pos="1080"/>
        </w:tabs>
        <w:rPr>
          <w:sz w:val="12"/>
          <w:szCs w:val="12"/>
        </w:rPr>
      </w:pPr>
    </w:p>
    <w:p w14:paraId="5E8BF013" w14:textId="5D86CCFD" w:rsidR="00FA095E" w:rsidRPr="005E6703" w:rsidRDefault="00FA095E" w:rsidP="002024BF">
      <w:pPr>
        <w:pStyle w:val="ProductList-Body"/>
        <w:tabs>
          <w:tab w:val="clear" w:pos="360"/>
          <w:tab w:val="clear" w:pos="720"/>
          <w:tab w:val="clear" w:pos="1080"/>
        </w:tabs>
        <w:rPr>
          <w:sz w:val="12"/>
          <w:szCs w:val="12"/>
        </w:rPr>
        <w:sectPr w:rsidR="00FA095E" w:rsidRPr="005E6703"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127" w:name="AppendixA"/>
      <w:bookmarkStart w:id="128" w:name="_Toc65680436"/>
      <w:r w:rsidRPr="008E64FF">
        <w:rPr>
          <w:lang w:eastAsia="en-US" w:bidi="ar-SA"/>
        </w:rPr>
        <w:lastRenderedPageBreak/>
        <w:t>Annexe A</w:t>
      </w:r>
      <w:bookmarkEnd w:id="127"/>
      <w:r w:rsidRPr="008E64FF">
        <w:rPr>
          <w:lang w:eastAsia="en-US" w:bidi="ar-SA"/>
        </w:rPr>
        <w:t xml:space="preserve"> – Engagement de Niveau de Service pour la Détection et le Blocage de Virus, l’Efficacité du Filtre de Courriers Indésirables ou les Faux Positifs</w:t>
      </w:r>
      <w:bookmarkEnd w:id="128"/>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w:t>
      </w:r>
      <w:r w:rsidRPr="006E70DE">
        <w:t>:</w:t>
      </w:r>
      <w:r>
        <w:t xml:space="preserve">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rsidRPr="00426103">
        <w:t>«</w:t>
      </w:r>
      <w:r>
        <w:t> Détection et Blocage de Virus </w:t>
      </w:r>
      <w:r w:rsidRPr="00426103">
        <w:t>»</w:t>
      </w:r>
      <w:r>
        <w:t xml:space="preserve"> désigne la détection et le blocage de Virus par des filtres, afin d’empêcher une infection. </w:t>
      </w:r>
      <w:r w:rsidRPr="00426103">
        <w:t>«</w:t>
      </w:r>
      <w:r>
        <w:t> Virus </w:t>
      </w:r>
      <w:r w:rsidRPr="00426103">
        <w:t>»</w:t>
      </w:r>
      <w:r>
        <w:t xml:space="preserve">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r w:rsidRPr="006E70DE">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w:t>
      </w:r>
      <w:r w:rsidRPr="006E70DE">
        <w:t>:</w:t>
      </w:r>
      <w:r>
        <w:t xml:space="preserve">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426103">
        <w:t>«</w:t>
      </w:r>
      <w:r>
        <w:t> Efficacité du Filtre de Courriers Indésirables </w:t>
      </w:r>
      <w:r w:rsidRPr="00426103">
        <w:t>»</w:t>
      </w:r>
      <w:r>
        <w:t xml:space="preserve">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2928A2"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2928A2"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rsidRPr="00426103">
        <w:t>«</w:t>
      </w:r>
      <w:r>
        <w:t> Faux Positif </w:t>
      </w:r>
      <w:r w:rsidRPr="00426103">
        <w:t>»</w:t>
      </w:r>
      <w:r>
        <w:t xml:space="preserve">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r w:rsidRPr="006E70DE">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7AE054B0" w14:textId="77777777" w:rsidTr="00F575B8">
        <w:tc>
          <w:tcPr>
            <w:tcW w:w="5040" w:type="dxa"/>
          </w:tcPr>
          <w:p w14:paraId="6B80DC14" w14:textId="3FF4857B" w:rsidR="00D46DC5" w:rsidRPr="0076238C" w:rsidRDefault="00D46DC5" w:rsidP="00002CD6">
            <w:pPr>
              <w:pStyle w:val="ProductList-OfferingBody"/>
              <w:jc w:val="center"/>
            </w:pPr>
            <w:r>
              <w:t>&gt; 1</w:t>
            </w:r>
            <w:r w:rsidRPr="006E70DE">
              <w:t>:</w:t>
            </w:r>
            <w:r>
              <w:t>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2928A2" w14:paraId="3254687C" w14:textId="77777777" w:rsidTr="00F575B8">
        <w:tc>
          <w:tcPr>
            <w:tcW w:w="5040" w:type="dxa"/>
          </w:tcPr>
          <w:p w14:paraId="0B1DD814" w14:textId="22B1890A" w:rsidR="00D46DC5" w:rsidRPr="0076238C" w:rsidRDefault="00D46DC5" w:rsidP="00002CD6">
            <w:pPr>
              <w:pStyle w:val="ProductList-OfferingBody"/>
              <w:jc w:val="center"/>
            </w:pPr>
            <w:r>
              <w:t>&gt; 1</w:t>
            </w:r>
            <w:r w:rsidRPr="006E70DE">
              <w:t>:</w:t>
            </w:r>
            <w:r>
              <w:t>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2928A2" w14:paraId="54FC3522" w14:textId="77777777" w:rsidTr="00F575B8">
        <w:tc>
          <w:tcPr>
            <w:tcW w:w="5040" w:type="dxa"/>
          </w:tcPr>
          <w:p w14:paraId="6B393370" w14:textId="0FE317CE" w:rsidR="00D46DC5" w:rsidRPr="0076238C" w:rsidRDefault="00F575B8" w:rsidP="00002CD6">
            <w:pPr>
              <w:pStyle w:val="ProductList-OfferingBody"/>
              <w:jc w:val="center"/>
            </w:pPr>
            <w:r>
              <w:t>&gt; 1</w:t>
            </w:r>
            <w:r w:rsidRPr="006E70DE">
              <w:t>:</w:t>
            </w:r>
            <w:r>
              <w:t>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2928A2" w:rsidRDefault="00B10E8D" w:rsidP="002024BF">
      <w:pPr>
        <w:rPr>
          <w:sz w:val="18"/>
          <w:szCs w:val="18"/>
        </w:rPr>
        <w:sectPr w:rsidR="00B10E8D" w:rsidRPr="002928A2"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129" w:name="AppendixB"/>
      <w:bookmarkStart w:id="130" w:name="_Toc65680437"/>
      <w:r w:rsidRPr="008E64FF">
        <w:rPr>
          <w:lang w:eastAsia="en-US" w:bidi="ar-SA"/>
        </w:rPr>
        <w:lastRenderedPageBreak/>
        <w:t>Annexe B</w:t>
      </w:r>
      <w:bookmarkEnd w:id="129"/>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130"/>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r w:rsidRPr="006E70DE">
        <w:t>:</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E70DE">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2928A2"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2928A2"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2928A2"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r w:rsidRPr="006E70DE">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426103">
        <w:t>«</w:t>
      </w:r>
      <w:r>
        <w:t> Remise du Courrier Électronique </w:t>
      </w:r>
      <w:r w:rsidRPr="00426103">
        <w:t>»</w:t>
      </w:r>
      <w:r>
        <w:t xml:space="preserve">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r w:rsidRPr="006E70DE">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w:t>
      </w:r>
      <w:proofErr w:type="spellStart"/>
      <w:r>
        <w:t>DoS</w:t>
      </w:r>
      <w:proofErr w:type="spellEnd"/>
      <w:r>
        <w:t>)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2928A2"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2928A2"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2928A2"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25"/>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D3706" w14:textId="77777777" w:rsidR="00065349" w:rsidRDefault="00065349" w:rsidP="009A573F">
      <w:pPr>
        <w:spacing w:after="0" w:line="240" w:lineRule="auto"/>
      </w:pPr>
      <w:r>
        <w:separator/>
      </w:r>
    </w:p>
  </w:endnote>
  <w:endnote w:type="continuationSeparator" w:id="0">
    <w:p w14:paraId="658E83B4" w14:textId="77777777" w:rsidR="00065349" w:rsidRDefault="00065349" w:rsidP="009A573F">
      <w:pPr>
        <w:spacing w:after="0" w:line="240" w:lineRule="auto"/>
      </w:pPr>
      <w:r>
        <w:continuationSeparator/>
      </w:r>
    </w:p>
  </w:endnote>
  <w:endnote w:type="continuationNotice" w:id="1">
    <w:p w14:paraId="155B0A00" w14:textId="77777777" w:rsidR="00065349" w:rsidRDefault="000653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0E21" w:rsidRPr="00C76DF3" w14:paraId="15A2D634" w14:textId="77777777" w:rsidTr="00CA55D9">
      <w:tc>
        <w:tcPr>
          <w:tcW w:w="1255" w:type="dxa"/>
          <w:shd w:val="clear" w:color="auto" w:fill="BFBFBF" w:themeFill="background1" w:themeFillShade="BF"/>
          <w:vAlign w:val="center"/>
        </w:tcPr>
        <w:p w14:paraId="2DBC2034" w14:textId="77777777" w:rsidR="00DC0E21" w:rsidRPr="00C76DF3" w:rsidRDefault="00065349" w:rsidP="00370875">
          <w:pPr>
            <w:pStyle w:val="ProductList-OfferingBody"/>
            <w:ind w:left="-77" w:right="-73"/>
            <w:jc w:val="center"/>
            <w:rPr>
              <w:color w:val="808080" w:themeColor="background1" w:themeShade="80"/>
              <w:sz w:val="14"/>
              <w:szCs w:val="14"/>
            </w:rPr>
          </w:pPr>
          <w:hyperlink w:anchor="TableOfContents" w:history="1">
            <w:r w:rsidR="00DC0E21">
              <w:rPr>
                <w:rStyle w:val="Hyperlink"/>
                <w:sz w:val="14"/>
                <w:szCs w:val="14"/>
              </w:rPr>
              <w:t>Table des matières</w:t>
            </w:r>
          </w:hyperlink>
        </w:p>
      </w:tc>
      <w:tc>
        <w:tcPr>
          <w:tcW w:w="181" w:type="dxa"/>
          <w:tcBorders>
            <w:top w:val="nil"/>
            <w:bottom w:val="nil"/>
          </w:tcBorders>
          <w:vAlign w:val="center"/>
        </w:tcPr>
        <w:p w14:paraId="252C3380" w14:textId="77777777" w:rsidR="00DC0E21" w:rsidRPr="00C76DF3" w:rsidRDefault="00DC0E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C0E21" w:rsidRPr="00C76DF3" w:rsidRDefault="00065349" w:rsidP="00370875">
          <w:pPr>
            <w:pStyle w:val="ProductList-OfferingBody"/>
            <w:ind w:left="-72" w:right="-74"/>
            <w:jc w:val="center"/>
            <w:rPr>
              <w:color w:val="808080" w:themeColor="background1" w:themeShade="80"/>
              <w:sz w:val="14"/>
              <w:szCs w:val="14"/>
            </w:rPr>
          </w:pPr>
          <w:hyperlink w:anchor="Introduction" w:history="1">
            <w:r w:rsidR="00DC0E21">
              <w:rPr>
                <w:rStyle w:val="Hyperlink"/>
                <w:sz w:val="14"/>
                <w:szCs w:val="14"/>
              </w:rPr>
              <w:t>Introduction</w:t>
            </w:r>
          </w:hyperlink>
        </w:p>
      </w:tc>
      <w:tc>
        <w:tcPr>
          <w:tcW w:w="182" w:type="dxa"/>
          <w:tcBorders>
            <w:top w:val="nil"/>
            <w:bottom w:val="nil"/>
          </w:tcBorders>
          <w:vAlign w:val="center"/>
        </w:tcPr>
        <w:p w14:paraId="0F966FD9" w14:textId="77777777" w:rsidR="00DC0E21" w:rsidRPr="00C76DF3" w:rsidRDefault="00DC0E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C0E21" w:rsidRPr="00C76DF3" w:rsidRDefault="00065349" w:rsidP="00370875">
          <w:pPr>
            <w:pStyle w:val="ProductList-OfferingBody"/>
            <w:ind w:left="-72" w:right="-75"/>
            <w:jc w:val="center"/>
            <w:rPr>
              <w:color w:val="808080" w:themeColor="background1" w:themeShade="80"/>
              <w:sz w:val="14"/>
              <w:szCs w:val="14"/>
            </w:rPr>
          </w:pPr>
          <w:hyperlink w:anchor="Glossary" w:history="1">
            <w:r w:rsidR="00DC0E21">
              <w:rPr>
                <w:rStyle w:val="Hyperlink"/>
                <w:sz w:val="14"/>
                <w:szCs w:val="14"/>
              </w:rPr>
              <w:t>Glossaire</w:t>
            </w:r>
          </w:hyperlink>
          <w:r w:rsidR="00DC0E2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C0E21" w:rsidRPr="00C76DF3" w:rsidRDefault="00DC0E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C0E21" w:rsidRPr="00C76DF3" w:rsidRDefault="00065349" w:rsidP="00370875">
          <w:pPr>
            <w:pStyle w:val="ProductList-OfferingBody"/>
            <w:ind w:left="-72" w:right="-77"/>
            <w:jc w:val="center"/>
            <w:rPr>
              <w:color w:val="808080" w:themeColor="background1" w:themeShade="80"/>
              <w:sz w:val="14"/>
              <w:szCs w:val="14"/>
            </w:rPr>
          </w:pPr>
          <w:hyperlink w:anchor="LicenseTerms" w:history="1">
            <w:r w:rsidR="00DC0E21">
              <w:rPr>
                <w:rStyle w:val="Hyperlink"/>
                <w:sz w:val="14"/>
                <w:szCs w:val="14"/>
              </w:rPr>
              <w:t>Conditions de Licence</w:t>
            </w:r>
          </w:hyperlink>
        </w:p>
      </w:tc>
      <w:tc>
        <w:tcPr>
          <w:tcW w:w="185" w:type="dxa"/>
          <w:tcBorders>
            <w:top w:val="nil"/>
            <w:bottom w:val="nil"/>
          </w:tcBorders>
          <w:vAlign w:val="center"/>
        </w:tcPr>
        <w:p w14:paraId="69800AFB"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C0E21" w:rsidRPr="00C76DF3" w:rsidRDefault="00065349" w:rsidP="00370875">
          <w:pPr>
            <w:pStyle w:val="ProductList-OfferingBody"/>
            <w:ind w:left="-72" w:right="-77"/>
            <w:jc w:val="center"/>
            <w:rPr>
              <w:color w:val="808080" w:themeColor="background1" w:themeShade="80"/>
              <w:sz w:val="14"/>
              <w:szCs w:val="14"/>
            </w:rPr>
          </w:pPr>
          <w:hyperlink w:anchor="Software" w:history="1">
            <w:r w:rsidR="00DC0E21">
              <w:rPr>
                <w:rStyle w:val="Hyperlink"/>
                <w:sz w:val="14"/>
                <w:szCs w:val="14"/>
              </w:rPr>
              <w:t>Logiciel</w:t>
            </w:r>
          </w:hyperlink>
        </w:p>
      </w:tc>
      <w:tc>
        <w:tcPr>
          <w:tcW w:w="180" w:type="dxa"/>
          <w:tcBorders>
            <w:top w:val="nil"/>
            <w:bottom w:val="nil"/>
          </w:tcBorders>
        </w:tcPr>
        <w:p w14:paraId="4F6F3066" w14:textId="77777777" w:rsidR="00DC0E21" w:rsidRPr="00C76DF3" w:rsidRDefault="00DC0E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C0E21" w:rsidRPr="00C76DF3" w:rsidRDefault="0006534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C0E21">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C0E21" w:rsidRPr="00C76DF3" w:rsidRDefault="00065349" w:rsidP="00370875">
          <w:pPr>
            <w:pStyle w:val="ProductList-OfferingBody"/>
            <w:ind w:left="-72" w:right="-76"/>
            <w:jc w:val="center"/>
            <w:rPr>
              <w:color w:val="808080" w:themeColor="background1" w:themeShade="80"/>
              <w:sz w:val="14"/>
              <w:szCs w:val="14"/>
            </w:rPr>
          </w:pPr>
          <w:hyperlink w:anchor="AppendixA" w:history="1">
            <w:r w:rsidR="00DC0E21">
              <w:rPr>
                <w:rStyle w:val="Hyperlink"/>
                <w:sz w:val="14"/>
                <w:szCs w:val="14"/>
              </w:rPr>
              <w:t>Annexes</w:t>
            </w:r>
          </w:hyperlink>
        </w:p>
      </w:tc>
      <w:tc>
        <w:tcPr>
          <w:tcW w:w="184" w:type="dxa"/>
          <w:tcBorders>
            <w:top w:val="nil"/>
            <w:bottom w:val="nil"/>
          </w:tcBorders>
          <w:vAlign w:val="center"/>
        </w:tcPr>
        <w:p w14:paraId="4CB1671F" w14:textId="77777777" w:rsidR="00DC0E21" w:rsidRPr="00C76DF3" w:rsidRDefault="00DC0E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C0E21" w:rsidRPr="00C76DF3" w:rsidRDefault="00065349" w:rsidP="00370875">
          <w:pPr>
            <w:pStyle w:val="ProductList-OfferingBody"/>
            <w:ind w:left="-72" w:right="-74"/>
            <w:jc w:val="center"/>
            <w:rPr>
              <w:color w:val="808080" w:themeColor="background1" w:themeShade="80"/>
              <w:sz w:val="14"/>
              <w:szCs w:val="14"/>
            </w:rPr>
          </w:pPr>
          <w:hyperlink w:anchor="Index" w:history="1">
            <w:r w:rsidR="00DC0E21">
              <w:rPr>
                <w:rStyle w:val="Hyperlink"/>
                <w:sz w:val="14"/>
                <w:szCs w:val="14"/>
              </w:rPr>
              <w:t>Index</w:t>
            </w:r>
          </w:hyperlink>
        </w:p>
      </w:tc>
    </w:tr>
  </w:tbl>
  <w:p w14:paraId="23003BC5" w14:textId="77777777" w:rsidR="00DC0E21" w:rsidRDefault="00DC0E21"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DC0E21" w:rsidRPr="00C76DF3" w:rsidRDefault="0006534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DC0E21" w:rsidRPr="00C76DF3" w:rsidRDefault="0006534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52A991D6"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DC0E21" w:rsidRPr="00C76DF3" w:rsidRDefault="0006534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A7DE9B2"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DC0E21" w:rsidRPr="00C76DF3" w:rsidRDefault="0006534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4442CBDB"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DC0E21" w:rsidRPr="00C76DF3" w:rsidRDefault="0006534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533AF096" w14:textId="77777777" w:rsidR="00DC0E21" w:rsidRDefault="00DC0E21"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DC0E21" w:rsidRPr="00C76DF3" w:rsidRDefault="0006534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DC0E21" w:rsidRPr="00C76DF3" w:rsidRDefault="0006534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373B7FF7"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DC0E21" w:rsidRPr="00C76DF3" w:rsidRDefault="0006534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D7F3E9B"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DC0E21" w:rsidRPr="00C76DF3" w:rsidRDefault="0006534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02D58744"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DC0E21" w:rsidRPr="00C76DF3" w:rsidRDefault="0006534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6DCBAE51" w14:textId="77777777" w:rsidR="00DC0E21" w:rsidRDefault="00DC0E21" w:rsidP="0034266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DC0E21" w:rsidRPr="00C76DF3" w:rsidRDefault="0006534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DC0E21" w:rsidRPr="00C76DF3" w:rsidRDefault="0006534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4C83A043"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DC0E21" w:rsidRPr="00C76DF3" w:rsidRDefault="0006534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7BDF580"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DC0E21" w:rsidRPr="00C76DF3" w:rsidRDefault="0006534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4B004F23"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DC0E21" w:rsidRPr="00C76DF3" w:rsidRDefault="0006534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2DDA93A9" w14:textId="77777777" w:rsidR="00DC0E21" w:rsidRDefault="00DC0E21" w:rsidP="00ED2FB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DC0E21" w:rsidRPr="00C76DF3" w:rsidRDefault="0006534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DC0E21" w:rsidRPr="00C76DF3" w:rsidRDefault="0006534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0BF46CDE"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DC0E21" w:rsidRPr="00C76DF3" w:rsidRDefault="0006534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3A392A47"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DC0E21" w:rsidRPr="00C76DF3" w:rsidRDefault="0006534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5C0452"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DC0E21" w:rsidRPr="00C76DF3" w:rsidRDefault="0006534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1258BADE" w14:textId="77777777" w:rsidR="00DC0E21" w:rsidRDefault="00DC0E21"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DC0E21" w:rsidRPr="00C76DF3" w:rsidRDefault="0006534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DC0E21" w:rsidRPr="00C76DF3" w:rsidRDefault="0006534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0AA4721A"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DC0E21" w:rsidRPr="00C76DF3" w:rsidRDefault="0006534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397ED8DA"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DC0E21" w:rsidRPr="00C76DF3" w:rsidRDefault="0006534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C3C42A"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DC0E21" w:rsidRPr="00C76DF3" w:rsidRDefault="0006534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7859250F" w14:textId="77777777" w:rsidR="00DC0E21" w:rsidRDefault="00DC0E21"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DC0E21" w:rsidRDefault="00DC0E21"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5C12127" w14:textId="77777777" w:rsidTr="00BD5C9E">
      <w:tc>
        <w:tcPr>
          <w:tcW w:w="2070" w:type="dxa"/>
          <w:shd w:val="clear" w:color="auto" w:fill="BFBFBF" w:themeFill="background1" w:themeFillShade="BF"/>
          <w:vAlign w:val="center"/>
        </w:tcPr>
        <w:p w14:paraId="5FE24522" w14:textId="06FAA846" w:rsidR="00DC0E21" w:rsidRPr="00C76DF3" w:rsidRDefault="00065349"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bottom w:val="nil"/>
          </w:tcBorders>
          <w:vAlign w:val="center"/>
        </w:tcPr>
        <w:p w14:paraId="06832330" w14:textId="77777777" w:rsidR="00DC0E21" w:rsidRPr="00C76DF3" w:rsidRDefault="00DC0E21"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DC0E21" w:rsidRPr="00C76DF3" w:rsidRDefault="00065349"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720EDAA8" w14:textId="77777777" w:rsidR="00DC0E21" w:rsidRPr="00C76DF3" w:rsidRDefault="00DC0E21"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DC0E21" w:rsidRPr="00C76DF3" w:rsidRDefault="00065349"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4C79DB56" w14:textId="77777777" w:rsidR="00DC0E21" w:rsidRPr="00C76DF3" w:rsidRDefault="00DC0E21"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DC0E21" w:rsidRPr="00C76DF3" w:rsidRDefault="00065349"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8E13E0" w14:textId="77777777" w:rsidR="00DC0E21" w:rsidRPr="00C76DF3" w:rsidRDefault="00DC0E21"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DC0E21" w:rsidRPr="00C76DF3" w:rsidRDefault="00065349"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1D21B767" w14:textId="77777777" w:rsidR="00DC0E21" w:rsidRDefault="00DC0E21" w:rsidP="0007177B">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1226BC13" w14:textId="77777777" w:rsidTr="007B4942">
      <w:tc>
        <w:tcPr>
          <w:tcW w:w="2070" w:type="dxa"/>
          <w:shd w:val="clear" w:color="auto" w:fill="BFBFBF" w:themeFill="background1" w:themeFillShade="BF"/>
          <w:vAlign w:val="center"/>
        </w:tcPr>
        <w:p w14:paraId="4BE9B867" w14:textId="77777777" w:rsidR="00DC0E21" w:rsidRPr="00C76DF3" w:rsidRDefault="00065349"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bottom w:val="nil"/>
          </w:tcBorders>
          <w:vAlign w:val="center"/>
        </w:tcPr>
        <w:p w14:paraId="605429A6" w14:textId="77777777" w:rsidR="00DC0E21" w:rsidRPr="00C76DF3" w:rsidRDefault="00DC0E21"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DC0E21" w:rsidRPr="00C76DF3" w:rsidRDefault="00065349"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6D7CB772" w14:textId="77777777" w:rsidR="00DC0E21" w:rsidRPr="00C76DF3" w:rsidRDefault="00DC0E21"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DC0E21" w:rsidRPr="00C76DF3" w:rsidRDefault="00065349"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E033CE8" w14:textId="77777777" w:rsidR="00DC0E21" w:rsidRPr="00C76DF3" w:rsidRDefault="00DC0E21"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DC0E21" w:rsidRPr="00C76DF3" w:rsidRDefault="00065349"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76DF924" w14:textId="77777777" w:rsidR="00DC0E21" w:rsidRPr="00C76DF3" w:rsidRDefault="00DC0E21"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DC0E21" w:rsidRPr="00C76DF3" w:rsidRDefault="00065349"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55876EE2" w14:textId="77777777" w:rsidR="00DC0E21" w:rsidRDefault="00DC0E2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0E21" w:rsidRPr="00C76DF3" w14:paraId="49EBE58A" w14:textId="77777777" w:rsidTr="00B5200C">
      <w:tc>
        <w:tcPr>
          <w:tcW w:w="1255" w:type="dxa"/>
          <w:shd w:val="clear" w:color="auto" w:fill="F2F2F2" w:themeFill="background1" w:themeFillShade="F2"/>
          <w:vAlign w:val="center"/>
        </w:tcPr>
        <w:p w14:paraId="102377D2" w14:textId="77777777" w:rsidR="00DC0E21" w:rsidRPr="00C76DF3" w:rsidRDefault="00065349" w:rsidP="00370875">
          <w:pPr>
            <w:pStyle w:val="ProductList-OfferingBody"/>
            <w:ind w:left="-77" w:right="-73"/>
            <w:jc w:val="center"/>
            <w:rPr>
              <w:color w:val="808080" w:themeColor="background1" w:themeShade="80"/>
              <w:sz w:val="14"/>
              <w:szCs w:val="14"/>
            </w:rPr>
          </w:pPr>
          <w:hyperlink w:anchor="TableOfContents" w:history="1">
            <w:r w:rsidR="00DC0E21">
              <w:rPr>
                <w:rStyle w:val="Hyperlink"/>
                <w:sz w:val="14"/>
                <w:szCs w:val="14"/>
              </w:rPr>
              <w:t>Table des matières</w:t>
            </w:r>
          </w:hyperlink>
        </w:p>
      </w:tc>
      <w:tc>
        <w:tcPr>
          <w:tcW w:w="181" w:type="dxa"/>
          <w:tcBorders>
            <w:top w:val="nil"/>
            <w:bottom w:val="nil"/>
          </w:tcBorders>
          <w:vAlign w:val="center"/>
        </w:tcPr>
        <w:p w14:paraId="3BB867E4" w14:textId="77777777" w:rsidR="00DC0E21" w:rsidRPr="00C76DF3" w:rsidRDefault="00DC0E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C0E21" w:rsidRPr="00C76DF3" w:rsidRDefault="00065349" w:rsidP="00370875">
          <w:pPr>
            <w:pStyle w:val="ProductList-OfferingBody"/>
            <w:ind w:left="-72" w:right="-74"/>
            <w:jc w:val="center"/>
            <w:rPr>
              <w:color w:val="808080" w:themeColor="background1" w:themeShade="80"/>
              <w:sz w:val="14"/>
              <w:szCs w:val="14"/>
            </w:rPr>
          </w:pPr>
          <w:hyperlink w:anchor="Introduction" w:history="1">
            <w:r w:rsidR="00DC0E21">
              <w:rPr>
                <w:rStyle w:val="Hyperlink"/>
                <w:sz w:val="14"/>
                <w:szCs w:val="14"/>
              </w:rPr>
              <w:t>Introduction</w:t>
            </w:r>
          </w:hyperlink>
        </w:p>
      </w:tc>
      <w:tc>
        <w:tcPr>
          <w:tcW w:w="182" w:type="dxa"/>
          <w:tcBorders>
            <w:top w:val="nil"/>
            <w:bottom w:val="nil"/>
          </w:tcBorders>
          <w:vAlign w:val="center"/>
        </w:tcPr>
        <w:p w14:paraId="53D82520" w14:textId="77777777" w:rsidR="00DC0E21" w:rsidRPr="00C76DF3" w:rsidRDefault="00DC0E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C0E21" w:rsidRPr="00C76DF3" w:rsidRDefault="00065349" w:rsidP="00370875">
          <w:pPr>
            <w:pStyle w:val="ProductList-OfferingBody"/>
            <w:ind w:left="-72" w:right="-75"/>
            <w:jc w:val="center"/>
            <w:rPr>
              <w:color w:val="808080" w:themeColor="background1" w:themeShade="80"/>
              <w:sz w:val="14"/>
              <w:szCs w:val="14"/>
            </w:rPr>
          </w:pPr>
          <w:hyperlink w:anchor="LicenseTerms" w:history="1">
            <w:r w:rsidR="00DC0E21">
              <w:rPr>
                <w:rStyle w:val="Hyperlink"/>
                <w:sz w:val="14"/>
                <w:szCs w:val="14"/>
              </w:rPr>
              <w:t>Conditions de Licence</w:t>
            </w:r>
          </w:hyperlink>
        </w:p>
      </w:tc>
      <w:tc>
        <w:tcPr>
          <w:tcW w:w="183" w:type="dxa"/>
          <w:tcBorders>
            <w:top w:val="nil"/>
            <w:bottom w:val="nil"/>
          </w:tcBorders>
          <w:vAlign w:val="center"/>
        </w:tcPr>
        <w:p w14:paraId="1125AF40" w14:textId="77777777" w:rsidR="00DC0E21" w:rsidRPr="00C76DF3" w:rsidRDefault="00DC0E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C0E21" w:rsidRPr="00C76DF3" w:rsidRDefault="00065349" w:rsidP="00370875">
          <w:pPr>
            <w:pStyle w:val="ProductList-OfferingBody"/>
            <w:ind w:left="-72" w:right="-77"/>
            <w:jc w:val="center"/>
            <w:rPr>
              <w:color w:val="808080" w:themeColor="background1" w:themeShade="80"/>
              <w:sz w:val="14"/>
              <w:szCs w:val="14"/>
            </w:rPr>
          </w:pPr>
          <w:hyperlink w:anchor="Software" w:history="1">
            <w:r w:rsidR="00DC0E21">
              <w:rPr>
                <w:rStyle w:val="Hyperlink"/>
                <w:sz w:val="14"/>
                <w:szCs w:val="14"/>
              </w:rPr>
              <w:t>Logiciel</w:t>
            </w:r>
          </w:hyperlink>
        </w:p>
      </w:tc>
      <w:tc>
        <w:tcPr>
          <w:tcW w:w="185" w:type="dxa"/>
          <w:tcBorders>
            <w:top w:val="nil"/>
            <w:bottom w:val="nil"/>
          </w:tcBorders>
          <w:vAlign w:val="center"/>
        </w:tcPr>
        <w:p w14:paraId="1E5F93B5"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C0E21" w:rsidRPr="00C76DF3" w:rsidRDefault="00065349" w:rsidP="000506C5">
          <w:pPr>
            <w:pStyle w:val="ProductList-OfferingBody"/>
            <w:ind w:left="-72" w:right="-77"/>
            <w:jc w:val="center"/>
            <w:rPr>
              <w:color w:val="808080" w:themeColor="background1" w:themeShade="80"/>
              <w:sz w:val="14"/>
              <w:szCs w:val="14"/>
            </w:rPr>
          </w:pPr>
          <w:hyperlink w:anchor="OnlineServices" w:history="1">
            <w:r w:rsidR="00DC0E21">
              <w:rPr>
                <w:rStyle w:val="Hyperlink"/>
                <w:sz w:val="14"/>
                <w:szCs w:val="14"/>
              </w:rPr>
              <w:t>Services en Ligne</w:t>
            </w:r>
          </w:hyperlink>
        </w:p>
      </w:tc>
      <w:tc>
        <w:tcPr>
          <w:tcW w:w="180" w:type="dxa"/>
          <w:tcBorders>
            <w:top w:val="nil"/>
            <w:bottom w:val="nil"/>
          </w:tcBorders>
        </w:tcPr>
        <w:p w14:paraId="774E3CA7" w14:textId="77777777" w:rsidR="00DC0E21" w:rsidRPr="00C76DF3" w:rsidRDefault="00DC0E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C0E21" w:rsidRPr="00C76DF3" w:rsidRDefault="0006534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C0E21">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C0E21" w:rsidRPr="00C76DF3" w:rsidRDefault="00065349" w:rsidP="00370875">
          <w:pPr>
            <w:pStyle w:val="ProductList-OfferingBody"/>
            <w:ind w:left="-72" w:right="-76"/>
            <w:jc w:val="center"/>
            <w:rPr>
              <w:color w:val="808080" w:themeColor="background1" w:themeShade="80"/>
              <w:sz w:val="14"/>
              <w:szCs w:val="14"/>
            </w:rPr>
          </w:pPr>
          <w:hyperlink w:anchor="AppendixA" w:history="1">
            <w:r w:rsidR="00DC0E21">
              <w:rPr>
                <w:rStyle w:val="Hyperlink"/>
                <w:sz w:val="14"/>
                <w:szCs w:val="14"/>
              </w:rPr>
              <w:t>Annexes</w:t>
            </w:r>
          </w:hyperlink>
        </w:p>
      </w:tc>
      <w:tc>
        <w:tcPr>
          <w:tcW w:w="184" w:type="dxa"/>
          <w:tcBorders>
            <w:top w:val="nil"/>
            <w:bottom w:val="nil"/>
          </w:tcBorders>
          <w:vAlign w:val="center"/>
        </w:tcPr>
        <w:p w14:paraId="54B478A3" w14:textId="77777777" w:rsidR="00DC0E21" w:rsidRPr="00C76DF3" w:rsidRDefault="00DC0E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C0E21" w:rsidRPr="00C76DF3" w:rsidRDefault="00065349" w:rsidP="00370875">
          <w:pPr>
            <w:pStyle w:val="ProductList-OfferingBody"/>
            <w:ind w:left="-72" w:right="-74"/>
            <w:jc w:val="center"/>
            <w:rPr>
              <w:color w:val="808080" w:themeColor="background1" w:themeShade="80"/>
              <w:sz w:val="14"/>
              <w:szCs w:val="14"/>
            </w:rPr>
          </w:pPr>
          <w:hyperlink w:anchor="Index" w:history="1">
            <w:r w:rsidR="00DC0E21">
              <w:rPr>
                <w:rStyle w:val="Hyperlink"/>
                <w:sz w:val="14"/>
                <w:szCs w:val="14"/>
              </w:rPr>
              <w:t>Index</w:t>
            </w:r>
          </w:hyperlink>
        </w:p>
      </w:tc>
    </w:tr>
  </w:tbl>
  <w:p w14:paraId="79D1A8DC" w14:textId="77777777" w:rsidR="00DC0E21" w:rsidRDefault="00DC0E21"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DC0E21" w:rsidRPr="00C76DF3" w:rsidRDefault="0006534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DC0E21" w:rsidRPr="00C76DF3" w:rsidRDefault="0006534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1AD3F0F4"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DC0E21" w:rsidRPr="00C76DF3" w:rsidRDefault="0006534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8B705C1"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DC0E21" w:rsidRPr="00C76DF3" w:rsidRDefault="0006534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3E955997"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DC0E21" w:rsidRPr="00C76DF3" w:rsidRDefault="0006534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4C5B7717" w14:textId="77777777" w:rsidR="00DC0E21" w:rsidRDefault="00DC0E21" w:rsidP="00F0685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DC0E21" w:rsidRPr="00C76DF3" w:rsidRDefault="0006534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DC0E21" w:rsidRPr="00C76DF3" w:rsidRDefault="0006534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219893AD"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DC0E21" w:rsidRPr="00C76DF3" w:rsidRDefault="0006534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7533FE4"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DC0E21" w:rsidRPr="00C76DF3" w:rsidRDefault="0006534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0E1C8C80"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DC0E21" w:rsidRPr="00C76DF3" w:rsidRDefault="0006534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0EF73ECD" w14:textId="77777777" w:rsidR="00DC0E21" w:rsidRDefault="00DC0E21"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DC0E21" w:rsidRPr="00C76DF3" w:rsidRDefault="0006534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DC0E21" w:rsidRPr="00C76DF3" w:rsidRDefault="0006534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7E68582C"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DC0E21" w:rsidRPr="00C76DF3" w:rsidRDefault="0006534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47A7D5A4"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DC0E21" w:rsidRPr="00C76DF3" w:rsidRDefault="0006534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1A04E667"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DC0E21" w:rsidRPr="00C76DF3" w:rsidRDefault="0006534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4066B3B1" w14:textId="77777777" w:rsidR="00DC0E21" w:rsidRDefault="00DC0E21"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DC0E21" w:rsidRPr="00C76DF3" w:rsidRDefault="0006534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DC0E21" w:rsidRPr="00C76DF3" w:rsidRDefault="0006534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156E21C4"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DC0E21" w:rsidRPr="00C76DF3" w:rsidRDefault="0006534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A380923"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DC0E21" w:rsidRPr="00C76DF3" w:rsidRDefault="0006534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302D3131"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DC0E21" w:rsidRPr="00C76DF3" w:rsidRDefault="0006534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6F43D20C" w14:textId="77777777" w:rsidR="00DC0E21" w:rsidRDefault="00DC0E21"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97F30" w14:textId="77777777" w:rsidR="00065349" w:rsidRDefault="00065349" w:rsidP="009A573F">
      <w:pPr>
        <w:spacing w:after="0" w:line="240" w:lineRule="auto"/>
      </w:pPr>
      <w:r>
        <w:separator/>
      </w:r>
    </w:p>
  </w:footnote>
  <w:footnote w:type="continuationSeparator" w:id="0">
    <w:p w14:paraId="23A45E55" w14:textId="77777777" w:rsidR="00065349" w:rsidRDefault="00065349" w:rsidP="009A573F">
      <w:pPr>
        <w:spacing w:after="0" w:line="240" w:lineRule="auto"/>
      </w:pPr>
      <w:r>
        <w:continuationSeparator/>
      </w:r>
    </w:p>
  </w:footnote>
  <w:footnote w:type="continuationNotice" w:id="1">
    <w:p w14:paraId="344BD1A0" w14:textId="77777777" w:rsidR="00065349" w:rsidRDefault="000653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0768F" w14:textId="5CAB40F6" w:rsidR="00DC0E21" w:rsidRPr="00BB1239" w:rsidRDefault="00065349" w:rsidP="009C340C">
    <w:pPr>
      <w:pStyle w:val="ProductList-Body"/>
      <w:tabs>
        <w:tab w:val="clear" w:pos="360"/>
        <w:tab w:val="clear" w:pos="720"/>
        <w:tab w:val="clear" w:pos="1080"/>
        <w:tab w:val="center" w:pos="5040"/>
        <w:tab w:val="right" w:pos="10800"/>
      </w:tabs>
      <w:rPr>
        <w:sz w:val="22"/>
      </w:rPr>
    </w:pPr>
    <w:sdt>
      <w:sdtPr>
        <w:rPr>
          <w:sz w:val="16"/>
          <w:szCs w:val="16"/>
        </w:rPr>
        <w:id w:val="168375924"/>
        <w:docPartObj>
          <w:docPartGallery w:val="Page Numbers (Top of Page)"/>
          <w:docPartUnique/>
        </w:docPartObj>
      </w:sdtPr>
      <w:sdtEndPr/>
      <w:sdtContent>
        <w:r w:rsidR="00DC0E21" w:rsidRPr="00086FBA">
          <w:rPr>
            <w:sz w:val="16"/>
            <w:szCs w:val="16"/>
          </w:rPr>
          <w:t>Contrat de Niveau de Service Licence en Volume Microsoft pour les Services en Ligne Microsoft (</w:t>
        </w:r>
        <w:r w:rsidR="00DC0E21" w:rsidRPr="00B872D6">
          <w:rPr>
            <w:sz w:val="16"/>
            <w:szCs w:val="16"/>
          </w:rPr>
          <w:t>Français, neutre,</w:t>
        </w:r>
        <w:r w:rsidR="00DC0E21" w:rsidRPr="00EB39BC">
          <w:t xml:space="preserve"> </w:t>
        </w:r>
        <w:r w:rsidR="00676C0D">
          <w:rPr>
            <w:sz w:val="16"/>
            <w:szCs w:val="16"/>
          </w:rPr>
          <w:t>1er mars 2021</w:t>
        </w:r>
        <w:r w:rsidR="00DC0E21" w:rsidRPr="00086FBA">
          <w:rPr>
            <w:sz w:val="16"/>
            <w:szCs w:val="16"/>
          </w:rPr>
          <w:t>)</w:t>
        </w:r>
        <w:r w:rsidR="00DC0E21">
          <w:rPr>
            <w:sz w:val="16"/>
            <w:szCs w:val="16"/>
          </w:rPr>
          <w:tab/>
        </w:r>
        <w:r w:rsidR="00DC0E21">
          <w:rPr>
            <w:sz w:val="16"/>
            <w:szCs w:val="16"/>
          </w:rPr>
          <w:fldChar w:fldCharType="begin"/>
        </w:r>
        <w:r w:rsidR="00DC0E21" w:rsidRPr="00A247F3">
          <w:rPr>
            <w:sz w:val="16"/>
            <w:szCs w:val="16"/>
          </w:rPr>
          <w:instrText xml:space="preserve"> PAGE </w:instrText>
        </w:r>
        <w:r w:rsidR="00DC0E21">
          <w:rPr>
            <w:sz w:val="16"/>
            <w:szCs w:val="16"/>
          </w:rPr>
          <w:fldChar w:fldCharType="separate"/>
        </w:r>
        <w:r w:rsidR="00DC0E21">
          <w:rPr>
            <w:sz w:val="16"/>
            <w:szCs w:val="16"/>
          </w:rPr>
          <w:t>2</w:t>
        </w:r>
        <w:r w:rsidR="00DC0E2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4F050E00" w:rsidR="00DC0E21" w:rsidRPr="00BB1239" w:rsidRDefault="00065349" w:rsidP="007546C2">
    <w:pPr>
      <w:pStyle w:val="ProductList-Body"/>
      <w:tabs>
        <w:tab w:val="clear" w:pos="360"/>
        <w:tab w:val="clear" w:pos="720"/>
        <w:tab w:val="clear" w:pos="1080"/>
        <w:tab w:val="center" w:pos="5040"/>
        <w:tab w:val="right" w:pos="10800"/>
      </w:tabs>
      <w:rPr>
        <w:sz w:val="22"/>
      </w:rPr>
    </w:pPr>
    <w:sdt>
      <w:sdtPr>
        <w:rPr>
          <w:sz w:val="16"/>
          <w:szCs w:val="16"/>
        </w:rPr>
        <w:id w:val="-1039815543"/>
        <w:docPartObj>
          <w:docPartGallery w:val="Page Numbers (Top of Page)"/>
          <w:docPartUnique/>
        </w:docPartObj>
      </w:sdtPr>
      <w:sdtEndPr/>
      <w:sdtContent>
        <w:r w:rsidR="00DC0E21" w:rsidRPr="00086FBA">
          <w:rPr>
            <w:sz w:val="16"/>
            <w:szCs w:val="16"/>
          </w:rPr>
          <w:t>Contrat de Niveau de Service Licence en Volume Microsoft pour les Services en Ligne Microsoft (</w:t>
        </w:r>
        <w:r w:rsidR="00DC0E21" w:rsidRPr="00B872D6">
          <w:rPr>
            <w:sz w:val="16"/>
            <w:szCs w:val="16"/>
          </w:rPr>
          <w:t>Français, neutre,</w:t>
        </w:r>
        <w:r w:rsidR="00DC0E21" w:rsidRPr="00EB39BC">
          <w:t xml:space="preserve"> </w:t>
        </w:r>
        <w:r w:rsidR="00676C0D">
          <w:rPr>
            <w:sz w:val="16"/>
            <w:szCs w:val="16"/>
          </w:rPr>
          <w:t>1er mars 2021</w:t>
        </w:r>
        <w:r w:rsidR="00DC0E21" w:rsidRPr="00086FBA">
          <w:rPr>
            <w:sz w:val="16"/>
            <w:szCs w:val="16"/>
          </w:rPr>
          <w:t>)</w:t>
        </w:r>
        <w:r w:rsidR="00DC0E21">
          <w:rPr>
            <w:sz w:val="16"/>
            <w:szCs w:val="16"/>
          </w:rPr>
          <w:tab/>
        </w:r>
        <w:r w:rsidR="00DC0E21">
          <w:rPr>
            <w:sz w:val="16"/>
            <w:szCs w:val="16"/>
          </w:rPr>
          <w:fldChar w:fldCharType="begin"/>
        </w:r>
        <w:r w:rsidR="00DC0E21" w:rsidRPr="00A247F3">
          <w:rPr>
            <w:sz w:val="16"/>
            <w:szCs w:val="16"/>
          </w:rPr>
          <w:instrText xml:space="preserve"> PAGE </w:instrText>
        </w:r>
        <w:r w:rsidR="00DC0E21">
          <w:rPr>
            <w:sz w:val="16"/>
            <w:szCs w:val="16"/>
          </w:rPr>
          <w:fldChar w:fldCharType="separate"/>
        </w:r>
        <w:r w:rsidR="00DC0E21">
          <w:rPr>
            <w:noProof/>
            <w:sz w:val="16"/>
            <w:szCs w:val="16"/>
          </w:rPr>
          <w:t>2</w:t>
        </w:r>
        <w:r w:rsidR="00DC0E2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ocumentProtection w:edit="readOnly" w:enforcement="1" w:cryptProviderType="rsaAES" w:cryptAlgorithmClass="hash" w:cryptAlgorithmType="typeAny" w:cryptAlgorithmSid="14" w:cryptSpinCount="100000" w:hash="d5Yh8/SAou+c7YTSnSbTE2Nf+gNJwQbcethPTIoKkqekVDsrCCwE6602ALYTkyPBYKVdXBD5E0fPhBQZ95M9Lw==" w:salt="VExUJlDnbhqp5Zb1oKfrF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359"/>
    <w:rsid w:val="00024B72"/>
    <w:rsid w:val="000250A6"/>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37217"/>
    <w:rsid w:val="00042A7E"/>
    <w:rsid w:val="00043712"/>
    <w:rsid w:val="000438F9"/>
    <w:rsid w:val="00043BAC"/>
    <w:rsid w:val="00045C64"/>
    <w:rsid w:val="000469DE"/>
    <w:rsid w:val="000476AA"/>
    <w:rsid w:val="00047CD1"/>
    <w:rsid w:val="00047DC7"/>
    <w:rsid w:val="000502F6"/>
    <w:rsid w:val="000506C5"/>
    <w:rsid w:val="00050BC6"/>
    <w:rsid w:val="00053691"/>
    <w:rsid w:val="000539EB"/>
    <w:rsid w:val="00055772"/>
    <w:rsid w:val="00056522"/>
    <w:rsid w:val="00056FAF"/>
    <w:rsid w:val="00057171"/>
    <w:rsid w:val="00057D82"/>
    <w:rsid w:val="00060BB6"/>
    <w:rsid w:val="00061075"/>
    <w:rsid w:val="00061F6E"/>
    <w:rsid w:val="00064B0B"/>
    <w:rsid w:val="00065349"/>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5EAB"/>
    <w:rsid w:val="000872EB"/>
    <w:rsid w:val="00087BC2"/>
    <w:rsid w:val="00087E64"/>
    <w:rsid w:val="000900F7"/>
    <w:rsid w:val="00090E7C"/>
    <w:rsid w:val="0009164C"/>
    <w:rsid w:val="00092062"/>
    <w:rsid w:val="00092257"/>
    <w:rsid w:val="000933AB"/>
    <w:rsid w:val="00093AF5"/>
    <w:rsid w:val="00093F79"/>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1BD8"/>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119"/>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6E6"/>
    <w:rsid w:val="00102FAA"/>
    <w:rsid w:val="001040A6"/>
    <w:rsid w:val="00104DBC"/>
    <w:rsid w:val="0010585C"/>
    <w:rsid w:val="0010587C"/>
    <w:rsid w:val="00105B4C"/>
    <w:rsid w:val="0010604C"/>
    <w:rsid w:val="0010674B"/>
    <w:rsid w:val="00106C29"/>
    <w:rsid w:val="00107EFC"/>
    <w:rsid w:val="00107F31"/>
    <w:rsid w:val="00110132"/>
    <w:rsid w:val="0011309F"/>
    <w:rsid w:val="00113A89"/>
    <w:rsid w:val="00113B71"/>
    <w:rsid w:val="00114B54"/>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696B"/>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0A36"/>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0C46"/>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B5349"/>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0659"/>
    <w:rsid w:val="00220852"/>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697"/>
    <w:rsid w:val="00270CD4"/>
    <w:rsid w:val="00271353"/>
    <w:rsid w:val="00272E53"/>
    <w:rsid w:val="002731FA"/>
    <w:rsid w:val="00273364"/>
    <w:rsid w:val="002743C4"/>
    <w:rsid w:val="00274A9F"/>
    <w:rsid w:val="00275618"/>
    <w:rsid w:val="0028263A"/>
    <w:rsid w:val="002845AC"/>
    <w:rsid w:val="00285240"/>
    <w:rsid w:val="00285B3D"/>
    <w:rsid w:val="00286D81"/>
    <w:rsid w:val="00287117"/>
    <w:rsid w:val="002879FE"/>
    <w:rsid w:val="002904AF"/>
    <w:rsid w:val="00291105"/>
    <w:rsid w:val="002915E1"/>
    <w:rsid w:val="002928A2"/>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C7755"/>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8DC"/>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5E32"/>
    <w:rsid w:val="003362D5"/>
    <w:rsid w:val="003365BF"/>
    <w:rsid w:val="00341301"/>
    <w:rsid w:val="003413A5"/>
    <w:rsid w:val="0034201B"/>
    <w:rsid w:val="00342666"/>
    <w:rsid w:val="003432E1"/>
    <w:rsid w:val="00343417"/>
    <w:rsid w:val="00344F32"/>
    <w:rsid w:val="0034691B"/>
    <w:rsid w:val="003474F0"/>
    <w:rsid w:val="003508DC"/>
    <w:rsid w:val="0035123C"/>
    <w:rsid w:val="003514D2"/>
    <w:rsid w:val="00351FBB"/>
    <w:rsid w:val="003531C7"/>
    <w:rsid w:val="00353E4C"/>
    <w:rsid w:val="003545F3"/>
    <w:rsid w:val="00354D09"/>
    <w:rsid w:val="00356011"/>
    <w:rsid w:val="003564EF"/>
    <w:rsid w:val="00360754"/>
    <w:rsid w:val="00362758"/>
    <w:rsid w:val="00362FF7"/>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273"/>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0EF5"/>
    <w:rsid w:val="003C2C35"/>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764"/>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103"/>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665"/>
    <w:rsid w:val="00467C95"/>
    <w:rsid w:val="004704B0"/>
    <w:rsid w:val="0047224F"/>
    <w:rsid w:val="00472FC6"/>
    <w:rsid w:val="004732EE"/>
    <w:rsid w:val="00476830"/>
    <w:rsid w:val="00476E3B"/>
    <w:rsid w:val="00476F7C"/>
    <w:rsid w:val="00477621"/>
    <w:rsid w:val="004809A6"/>
    <w:rsid w:val="00481542"/>
    <w:rsid w:val="00482BC7"/>
    <w:rsid w:val="00483231"/>
    <w:rsid w:val="00484821"/>
    <w:rsid w:val="00484931"/>
    <w:rsid w:val="00485762"/>
    <w:rsid w:val="00485818"/>
    <w:rsid w:val="00486287"/>
    <w:rsid w:val="00486DA0"/>
    <w:rsid w:val="00487199"/>
    <w:rsid w:val="004925A1"/>
    <w:rsid w:val="0049360D"/>
    <w:rsid w:val="0049363D"/>
    <w:rsid w:val="00493C0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A33"/>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CDA"/>
    <w:rsid w:val="00531D8D"/>
    <w:rsid w:val="005328B4"/>
    <w:rsid w:val="00532FF2"/>
    <w:rsid w:val="00533233"/>
    <w:rsid w:val="00533DD5"/>
    <w:rsid w:val="0053409E"/>
    <w:rsid w:val="0053420D"/>
    <w:rsid w:val="00534FD1"/>
    <w:rsid w:val="00535A01"/>
    <w:rsid w:val="00535D57"/>
    <w:rsid w:val="00536AAB"/>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2E8C"/>
    <w:rsid w:val="00583F72"/>
    <w:rsid w:val="00584073"/>
    <w:rsid w:val="0058430D"/>
    <w:rsid w:val="00584AA2"/>
    <w:rsid w:val="00585A48"/>
    <w:rsid w:val="005864B0"/>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30F6"/>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846"/>
    <w:rsid w:val="005F3D49"/>
    <w:rsid w:val="005F5C0F"/>
    <w:rsid w:val="005F7C66"/>
    <w:rsid w:val="005F7CBA"/>
    <w:rsid w:val="00600023"/>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5E15"/>
    <w:rsid w:val="006161E0"/>
    <w:rsid w:val="00616E28"/>
    <w:rsid w:val="00617627"/>
    <w:rsid w:val="00622080"/>
    <w:rsid w:val="0062346A"/>
    <w:rsid w:val="00624B00"/>
    <w:rsid w:val="00624D19"/>
    <w:rsid w:val="00626814"/>
    <w:rsid w:val="00627168"/>
    <w:rsid w:val="006317BA"/>
    <w:rsid w:val="00633463"/>
    <w:rsid w:val="0063398B"/>
    <w:rsid w:val="00633CC2"/>
    <w:rsid w:val="00634505"/>
    <w:rsid w:val="00634A1C"/>
    <w:rsid w:val="00635199"/>
    <w:rsid w:val="006357D4"/>
    <w:rsid w:val="00635EBE"/>
    <w:rsid w:val="006360A6"/>
    <w:rsid w:val="00636C5B"/>
    <w:rsid w:val="00637350"/>
    <w:rsid w:val="006379B5"/>
    <w:rsid w:val="0064110C"/>
    <w:rsid w:val="0064152F"/>
    <w:rsid w:val="00641829"/>
    <w:rsid w:val="0064249B"/>
    <w:rsid w:val="00642513"/>
    <w:rsid w:val="006434A0"/>
    <w:rsid w:val="00643829"/>
    <w:rsid w:val="00644D75"/>
    <w:rsid w:val="006457D1"/>
    <w:rsid w:val="006474B0"/>
    <w:rsid w:val="00647998"/>
    <w:rsid w:val="006519F7"/>
    <w:rsid w:val="00651A42"/>
    <w:rsid w:val="00652298"/>
    <w:rsid w:val="006524A3"/>
    <w:rsid w:val="00652D06"/>
    <w:rsid w:val="00652E45"/>
    <w:rsid w:val="00653E71"/>
    <w:rsid w:val="00654503"/>
    <w:rsid w:val="0065530F"/>
    <w:rsid w:val="00655A3E"/>
    <w:rsid w:val="0065629F"/>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6C0D"/>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0DE"/>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DD"/>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4298"/>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BAB"/>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33E"/>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07F56"/>
    <w:rsid w:val="0081003D"/>
    <w:rsid w:val="00812549"/>
    <w:rsid w:val="00812E0D"/>
    <w:rsid w:val="00813FC9"/>
    <w:rsid w:val="00815753"/>
    <w:rsid w:val="008164DE"/>
    <w:rsid w:val="00821000"/>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33F"/>
    <w:rsid w:val="00846426"/>
    <w:rsid w:val="00846616"/>
    <w:rsid w:val="00846B36"/>
    <w:rsid w:val="00846CB9"/>
    <w:rsid w:val="0084752D"/>
    <w:rsid w:val="008507CF"/>
    <w:rsid w:val="00850E85"/>
    <w:rsid w:val="008524D6"/>
    <w:rsid w:val="00852618"/>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3F36"/>
    <w:rsid w:val="008940CA"/>
    <w:rsid w:val="0089477A"/>
    <w:rsid w:val="008968F4"/>
    <w:rsid w:val="00897417"/>
    <w:rsid w:val="00897D19"/>
    <w:rsid w:val="00897E26"/>
    <w:rsid w:val="008A0064"/>
    <w:rsid w:val="008A2E96"/>
    <w:rsid w:val="008A3F66"/>
    <w:rsid w:val="008B0005"/>
    <w:rsid w:val="008B02EF"/>
    <w:rsid w:val="008B08EC"/>
    <w:rsid w:val="008B0AAE"/>
    <w:rsid w:val="008B0ED6"/>
    <w:rsid w:val="008B0F9D"/>
    <w:rsid w:val="008B2E04"/>
    <w:rsid w:val="008B4306"/>
    <w:rsid w:val="008B6ABD"/>
    <w:rsid w:val="008B7A36"/>
    <w:rsid w:val="008B7BF0"/>
    <w:rsid w:val="008C0120"/>
    <w:rsid w:val="008C0DC9"/>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290B"/>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1AC"/>
    <w:rsid w:val="009228ED"/>
    <w:rsid w:val="00925750"/>
    <w:rsid w:val="00925DB8"/>
    <w:rsid w:val="00925F11"/>
    <w:rsid w:val="009267F8"/>
    <w:rsid w:val="00926D52"/>
    <w:rsid w:val="00927552"/>
    <w:rsid w:val="00930A79"/>
    <w:rsid w:val="00930B49"/>
    <w:rsid w:val="00930D5E"/>
    <w:rsid w:val="009315BA"/>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0B3D"/>
    <w:rsid w:val="00981B7C"/>
    <w:rsid w:val="0098222D"/>
    <w:rsid w:val="009825E8"/>
    <w:rsid w:val="009848F2"/>
    <w:rsid w:val="009857C8"/>
    <w:rsid w:val="009918EB"/>
    <w:rsid w:val="009919D2"/>
    <w:rsid w:val="00991E89"/>
    <w:rsid w:val="00992355"/>
    <w:rsid w:val="00992B6D"/>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40C"/>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018"/>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3FA8"/>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90"/>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01D"/>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8B7"/>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6FD3"/>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3FCD"/>
    <w:rsid w:val="00B26BEF"/>
    <w:rsid w:val="00B31F12"/>
    <w:rsid w:val="00B32745"/>
    <w:rsid w:val="00B35314"/>
    <w:rsid w:val="00B3709F"/>
    <w:rsid w:val="00B3772C"/>
    <w:rsid w:val="00B427E6"/>
    <w:rsid w:val="00B42F95"/>
    <w:rsid w:val="00B4343E"/>
    <w:rsid w:val="00B438B1"/>
    <w:rsid w:val="00B44C15"/>
    <w:rsid w:val="00B45BE8"/>
    <w:rsid w:val="00B4626C"/>
    <w:rsid w:val="00B4717C"/>
    <w:rsid w:val="00B47BC3"/>
    <w:rsid w:val="00B504F8"/>
    <w:rsid w:val="00B50F05"/>
    <w:rsid w:val="00B5200C"/>
    <w:rsid w:val="00B5449A"/>
    <w:rsid w:val="00B608EC"/>
    <w:rsid w:val="00B60ECF"/>
    <w:rsid w:val="00B6224B"/>
    <w:rsid w:val="00B627EE"/>
    <w:rsid w:val="00B64912"/>
    <w:rsid w:val="00B64EAD"/>
    <w:rsid w:val="00B65ABC"/>
    <w:rsid w:val="00B65D42"/>
    <w:rsid w:val="00B65F66"/>
    <w:rsid w:val="00B66D05"/>
    <w:rsid w:val="00B66D72"/>
    <w:rsid w:val="00B66EB9"/>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021"/>
    <w:rsid w:val="00B7745F"/>
    <w:rsid w:val="00B779AF"/>
    <w:rsid w:val="00B803E2"/>
    <w:rsid w:val="00B808DE"/>
    <w:rsid w:val="00B80DB3"/>
    <w:rsid w:val="00B8103D"/>
    <w:rsid w:val="00B82D41"/>
    <w:rsid w:val="00B83710"/>
    <w:rsid w:val="00B85CA9"/>
    <w:rsid w:val="00B872D6"/>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239"/>
    <w:rsid w:val="00BB1F35"/>
    <w:rsid w:val="00BB3BDA"/>
    <w:rsid w:val="00BB45F5"/>
    <w:rsid w:val="00BB69CB"/>
    <w:rsid w:val="00BB72EA"/>
    <w:rsid w:val="00BC01B9"/>
    <w:rsid w:val="00BC043C"/>
    <w:rsid w:val="00BC068E"/>
    <w:rsid w:val="00BC0BD3"/>
    <w:rsid w:val="00BC0BEF"/>
    <w:rsid w:val="00BC0C31"/>
    <w:rsid w:val="00BC1F88"/>
    <w:rsid w:val="00BC37C3"/>
    <w:rsid w:val="00BC4569"/>
    <w:rsid w:val="00BC45D7"/>
    <w:rsid w:val="00BC5096"/>
    <w:rsid w:val="00BC626C"/>
    <w:rsid w:val="00BC6487"/>
    <w:rsid w:val="00BC6AFE"/>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B07"/>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4DC4"/>
    <w:rsid w:val="00C55C15"/>
    <w:rsid w:val="00C55E46"/>
    <w:rsid w:val="00C614E7"/>
    <w:rsid w:val="00C6271A"/>
    <w:rsid w:val="00C63D38"/>
    <w:rsid w:val="00C64C21"/>
    <w:rsid w:val="00C64CC2"/>
    <w:rsid w:val="00C65A35"/>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6C2C"/>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3515"/>
    <w:rsid w:val="00CE4450"/>
    <w:rsid w:val="00CE45F9"/>
    <w:rsid w:val="00CE5EEC"/>
    <w:rsid w:val="00CE62C3"/>
    <w:rsid w:val="00CE6EBB"/>
    <w:rsid w:val="00CE7091"/>
    <w:rsid w:val="00CF012D"/>
    <w:rsid w:val="00CF18DD"/>
    <w:rsid w:val="00CF19C2"/>
    <w:rsid w:val="00CF1A73"/>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5762"/>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4E63"/>
    <w:rsid w:val="00D75B54"/>
    <w:rsid w:val="00D76853"/>
    <w:rsid w:val="00D76AB9"/>
    <w:rsid w:val="00D77036"/>
    <w:rsid w:val="00D80A12"/>
    <w:rsid w:val="00D8160E"/>
    <w:rsid w:val="00D8182E"/>
    <w:rsid w:val="00D8251F"/>
    <w:rsid w:val="00D82F5A"/>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1FB"/>
    <w:rsid w:val="00DB5F71"/>
    <w:rsid w:val="00DB6414"/>
    <w:rsid w:val="00DB7A1F"/>
    <w:rsid w:val="00DC0385"/>
    <w:rsid w:val="00DC097C"/>
    <w:rsid w:val="00DC0E21"/>
    <w:rsid w:val="00DC122E"/>
    <w:rsid w:val="00DC2685"/>
    <w:rsid w:val="00DC38ED"/>
    <w:rsid w:val="00DC40C2"/>
    <w:rsid w:val="00DC47E5"/>
    <w:rsid w:val="00DC4DAE"/>
    <w:rsid w:val="00DC5EDE"/>
    <w:rsid w:val="00DC66F8"/>
    <w:rsid w:val="00DC6F8F"/>
    <w:rsid w:val="00DC7405"/>
    <w:rsid w:val="00DC7ACC"/>
    <w:rsid w:val="00DC7CDF"/>
    <w:rsid w:val="00DC7D20"/>
    <w:rsid w:val="00DD032E"/>
    <w:rsid w:val="00DD04FC"/>
    <w:rsid w:val="00DD10D3"/>
    <w:rsid w:val="00DD1A45"/>
    <w:rsid w:val="00DD1F37"/>
    <w:rsid w:val="00DE064E"/>
    <w:rsid w:val="00DE08B9"/>
    <w:rsid w:val="00DE44BF"/>
    <w:rsid w:val="00DE566B"/>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152E"/>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06A9"/>
    <w:rsid w:val="00E6194F"/>
    <w:rsid w:val="00E61DFC"/>
    <w:rsid w:val="00E62D9C"/>
    <w:rsid w:val="00E652A8"/>
    <w:rsid w:val="00E661C3"/>
    <w:rsid w:val="00E664E3"/>
    <w:rsid w:val="00E67B2E"/>
    <w:rsid w:val="00E67F37"/>
    <w:rsid w:val="00E70643"/>
    <w:rsid w:val="00E71098"/>
    <w:rsid w:val="00E71FDF"/>
    <w:rsid w:val="00E72179"/>
    <w:rsid w:val="00E73509"/>
    <w:rsid w:val="00E73C22"/>
    <w:rsid w:val="00E73D9A"/>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66A"/>
    <w:rsid w:val="00E87EC1"/>
    <w:rsid w:val="00E915FD"/>
    <w:rsid w:val="00E957F0"/>
    <w:rsid w:val="00E96D66"/>
    <w:rsid w:val="00E9795F"/>
    <w:rsid w:val="00EA044F"/>
    <w:rsid w:val="00EA116D"/>
    <w:rsid w:val="00EA1CDF"/>
    <w:rsid w:val="00EA3FA8"/>
    <w:rsid w:val="00EA4BEE"/>
    <w:rsid w:val="00EA4CAE"/>
    <w:rsid w:val="00EA53A5"/>
    <w:rsid w:val="00EA5FCC"/>
    <w:rsid w:val="00EA700B"/>
    <w:rsid w:val="00EA77C0"/>
    <w:rsid w:val="00EA7DCF"/>
    <w:rsid w:val="00EB1B5A"/>
    <w:rsid w:val="00EB39BC"/>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064"/>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3F4F"/>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55FC"/>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095E"/>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 w:type="character" w:styleId="UnresolvedMention">
    <w:name w:val="Unresolved Mention"/>
    <w:basedOn w:val="DefaultParagraphFont"/>
    <w:uiPriority w:val="99"/>
    <w:semiHidden/>
    <w:unhideWhenUsed/>
    <w:rsid w:val="003D7764"/>
    <w:rPr>
      <w:color w:val="808080"/>
      <w:shd w:val="clear" w:color="auto" w:fill="E6E6E6"/>
    </w:rPr>
  </w:style>
  <w:style w:type="table" w:customStyle="1" w:styleId="ListTable6Colorful1">
    <w:name w:val="List Table 6 Colorful1"/>
    <w:basedOn w:val="TableNormal"/>
    <w:uiPriority w:val="51"/>
    <w:rsid w:val="00362FF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2FF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fontTable" Target="fontTable.xml"/><Relationship Id="rId30"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53E8FB-95BB-41F8-B16F-03BB59043294}">
  <ds:schemaRefs>
    <ds:schemaRef ds:uri="http://schemas.openxmlformats.org/officeDocument/2006/bibliography"/>
  </ds:schemaRefs>
</ds:datastoreItem>
</file>

<file path=customXml/itemProps2.xml><?xml version="1.0" encoding="utf-8"?>
<ds:datastoreItem xmlns:ds="http://schemas.openxmlformats.org/officeDocument/2006/customXml" ds:itemID="{46EFDC09-BB28-467E-83EF-086B293F7792}"/>
</file>

<file path=customXml/itemProps3.xml><?xml version="1.0" encoding="utf-8"?>
<ds:datastoreItem xmlns:ds="http://schemas.openxmlformats.org/officeDocument/2006/customXml" ds:itemID="{E36C90C8-B318-4974-ADFD-52700A695B72}"/>
</file>

<file path=customXml/itemProps4.xml><?xml version="1.0" encoding="utf-8"?>
<ds:datastoreItem xmlns:ds="http://schemas.openxmlformats.org/officeDocument/2006/customXml" ds:itemID="{5C91953F-D4D9-4432-BB8F-4BDD270E905C}"/>
</file>

<file path=docProps/app.xml><?xml version="1.0" encoding="utf-8"?>
<Properties xmlns="http://schemas.openxmlformats.org/officeDocument/2006/extended-properties" xmlns:vt="http://schemas.openxmlformats.org/officeDocument/2006/docPropsVTypes">
  <Template>Normal</Template>
  <TotalTime>0</TotalTime>
  <Pages>27</Pages>
  <Words>12728</Words>
  <Characters>72552</Characters>
  <Application>Microsoft Office Word</Application>
  <DocSecurity>8</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2021-03-04T00:15:00Z</dcterms:created>
  <dcterms:modified xsi:type="dcterms:W3CDTF">2021-03-04T00:17:00Z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