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A0B" w:rsidRPr="0092627D" w:rsidRDefault="000D4A0B" w:rsidP="00627D84">
      <w:pPr>
        <w:rPr>
          <w:rFonts w:ascii="Calibri" w:hAnsi="Calibri"/>
          <w:lang w:val="de-DE"/>
        </w:rPr>
      </w:pPr>
      <w:r w:rsidRPr="0092627D">
        <w:rPr>
          <w:rFonts w:ascii="Calibri" w:hAnsi="Calibri"/>
          <w:b/>
          <w:sz w:val="28"/>
          <w:lang w:val="de-DE"/>
        </w:rPr>
        <w:t>Vereinbarung zum Servicelevel für Microsoft-Onlinedienste</w:t>
      </w:r>
      <w:bookmarkStart w:id="0" w:name="_GoBack"/>
      <w:bookmarkEnd w:id="0"/>
    </w:p>
    <w:p w:rsidR="000D4A0B" w:rsidRPr="00BC187C" w:rsidRDefault="000D4A0B" w:rsidP="00627D84">
      <w:pPr>
        <w:rPr>
          <w:rFonts w:ascii="Calibri" w:hAnsi="Calibri" w:cs="Calibri"/>
          <w:b/>
          <w:sz w:val="12"/>
          <w:szCs w:val="12"/>
          <w:lang w:val="de-DE"/>
        </w:rPr>
      </w:pPr>
    </w:p>
    <w:p w:rsidR="000D4A0B" w:rsidRPr="00BC187C" w:rsidRDefault="000D4A0B" w:rsidP="00627D84">
      <w:pPr>
        <w:rPr>
          <w:rFonts w:ascii="Calibri" w:hAnsi="Calibri" w:cs="Calibri"/>
          <w:b/>
          <w:sz w:val="12"/>
          <w:szCs w:val="12"/>
          <w:lang w:val="de-DE"/>
        </w:rPr>
      </w:pPr>
    </w:p>
    <w:p w:rsidR="000D4A0B" w:rsidRPr="0092627D" w:rsidRDefault="000D4A0B" w:rsidP="00627D84">
      <w:pPr>
        <w:rPr>
          <w:rFonts w:ascii="Calibri" w:hAnsi="Calibri"/>
          <w:lang w:val="de-DE"/>
        </w:rPr>
      </w:pPr>
      <w:r w:rsidRPr="0092627D">
        <w:rPr>
          <w:rFonts w:ascii="Calibri" w:hAnsi="Calibri" w:cs="Calibri"/>
          <w:sz w:val="22"/>
          <w:szCs w:val="22"/>
          <w:lang w:val="de-DE"/>
        </w:rPr>
        <w:t xml:space="preserve">Letzte Aktualisierung: </w:t>
      </w:r>
      <w:r w:rsidRPr="0092627D">
        <w:rPr>
          <w:rFonts w:ascii="Calibri" w:hAnsi="Calibri"/>
          <w:sz w:val="22"/>
          <w:lang w:val="de-DE"/>
        </w:rPr>
        <w:t>1. Januar 2014</w:t>
      </w:r>
    </w:p>
    <w:p w:rsidR="000D4A0B" w:rsidRPr="001652B9" w:rsidRDefault="000D4A0B" w:rsidP="00627D84">
      <w:pPr>
        <w:rPr>
          <w:rFonts w:ascii="Calibri" w:hAnsi="Calibri" w:cs="Calibri"/>
          <w:sz w:val="12"/>
          <w:szCs w:val="12"/>
        </w:rPr>
      </w:pPr>
    </w:p>
    <w:p w:rsidR="000D4A0B" w:rsidRPr="00B64553" w:rsidRDefault="000D4A0B" w:rsidP="00B64553">
      <w:pPr>
        <w:pStyle w:val="ListParagraph"/>
        <w:numPr>
          <w:ilvl w:val="0"/>
          <w:numId w:val="7"/>
        </w:numPr>
        <w:tabs>
          <w:tab w:val="left" w:pos="-90"/>
          <w:tab w:val="left" w:pos="0"/>
        </w:tabs>
        <w:jc w:val="both"/>
        <w:rPr>
          <w:rFonts w:ascii="Calibri" w:hAnsi="Calibri" w:cs="Calibri"/>
          <w:b/>
          <w:sz w:val="22"/>
          <w:szCs w:val="22"/>
          <w:u w:val="single"/>
        </w:rPr>
      </w:pPr>
      <w:proofErr w:type="spellStart"/>
      <w:r w:rsidRPr="00B64553">
        <w:rPr>
          <w:rFonts w:ascii="Calibri" w:hAnsi="Calibri" w:cs="Calibri"/>
          <w:b/>
          <w:sz w:val="22"/>
          <w:szCs w:val="22"/>
          <w:u w:val="single"/>
        </w:rPr>
        <w:t>Einleitung</w:t>
      </w:r>
      <w:proofErr w:type="spellEnd"/>
      <w:r w:rsidRPr="00B64553">
        <w:rPr>
          <w:rFonts w:ascii="Calibri" w:hAnsi="Calibri" w:cs="Calibri"/>
          <w:b/>
          <w:sz w:val="22"/>
          <w:szCs w:val="22"/>
        </w:rPr>
        <w:t>.</w:t>
      </w:r>
    </w:p>
    <w:p w:rsidR="000D4A0B" w:rsidRPr="00402DBF" w:rsidRDefault="000D4A0B" w:rsidP="00627D84">
      <w:pPr>
        <w:tabs>
          <w:tab w:val="left" w:pos="-90"/>
          <w:tab w:val="left" w:pos="0"/>
        </w:tabs>
        <w:jc w:val="both"/>
        <w:rPr>
          <w:rFonts w:ascii="Calibri" w:hAnsi="Calibri" w:cs="Calibri"/>
          <w:b/>
          <w:sz w:val="12"/>
          <w:szCs w:val="12"/>
        </w:rPr>
      </w:pPr>
    </w:p>
    <w:p w:rsidR="000D4A0B" w:rsidRPr="0092627D" w:rsidRDefault="000D4A0B" w:rsidP="00B101EE">
      <w:pPr>
        <w:tabs>
          <w:tab w:val="left" w:pos="-90"/>
          <w:tab w:val="left" w:pos="180"/>
        </w:tabs>
        <w:jc w:val="both"/>
        <w:rPr>
          <w:rFonts w:ascii="Calibri" w:hAnsi="Calibri"/>
          <w:lang w:val="de-DE"/>
        </w:rPr>
      </w:pPr>
      <w:r w:rsidRPr="0092627D">
        <w:rPr>
          <w:rFonts w:ascii="Calibri" w:hAnsi="Calibri"/>
          <w:sz w:val="22"/>
          <w:lang w:val="de-DE"/>
        </w:rPr>
        <w:t xml:space="preserve">Diese Vereinbarung zum Servicelevel für Microsoft-Onlinedienste (diese </w:t>
      </w:r>
      <w:r w:rsidR="00795873">
        <w:rPr>
          <w:rFonts w:ascii="Calibri" w:hAnsi="Calibri"/>
          <w:sz w:val="22"/>
          <w:lang w:val="de-DE"/>
        </w:rPr>
        <w:t>„</w:t>
      </w:r>
      <w:r w:rsidRPr="0092627D">
        <w:rPr>
          <w:rFonts w:ascii="Calibri" w:hAnsi="Calibri"/>
          <w:sz w:val="22"/>
          <w:u w:val="single"/>
          <w:lang w:val="de-DE"/>
        </w:rPr>
        <w:t>SLA</w:t>
      </w:r>
      <w:r w:rsidR="00795873">
        <w:rPr>
          <w:rFonts w:ascii="Calibri" w:hAnsi="Calibri"/>
          <w:sz w:val="22"/>
          <w:lang w:val="de-DE"/>
        </w:rPr>
        <w:t>“</w:t>
      </w:r>
      <w:r w:rsidRPr="0092627D">
        <w:rPr>
          <w:rFonts w:ascii="Calibri" w:hAnsi="Calibri"/>
          <w:sz w:val="22"/>
          <w:lang w:val="de-DE"/>
        </w:rPr>
        <w:t>) wird von Microsoft in Verbindung mit Ihrem Microsoft-Volumenlizenzvertrag (der „</w:t>
      </w:r>
      <w:r w:rsidRPr="0092627D">
        <w:rPr>
          <w:rFonts w:ascii="Calibri" w:hAnsi="Calibri"/>
          <w:sz w:val="22"/>
          <w:u w:val="single"/>
          <w:lang w:val="de-DE"/>
        </w:rPr>
        <w:t>Vertrag</w:t>
      </w:r>
      <w:r w:rsidRPr="0092627D">
        <w:rPr>
          <w:rFonts w:ascii="Calibri" w:hAnsi="Calibri"/>
          <w:sz w:val="22"/>
          <w:lang w:val="de-DE"/>
        </w:rPr>
        <w:t>“) geschlossen und ist Bestandteil davon.</w:t>
      </w:r>
      <w:r w:rsidRPr="0092627D">
        <w:rPr>
          <w:rFonts w:ascii="Calibri" w:hAnsi="Calibri"/>
          <w:lang w:val="de-DE"/>
        </w:rPr>
        <w:t xml:space="preserve"> </w:t>
      </w:r>
      <w:r w:rsidRPr="0092627D">
        <w:rPr>
          <w:rFonts w:ascii="Calibri" w:hAnsi="Calibri"/>
          <w:sz w:val="22"/>
          <w:lang w:val="de-DE"/>
        </w:rPr>
        <w:t>Diese SLA gilt für die folgenden Microsoft-Dienste:</w:t>
      </w:r>
    </w:p>
    <w:p w:rsidR="000D4A0B" w:rsidRPr="009C24B4" w:rsidRDefault="000D4A0B" w:rsidP="00627D84">
      <w:pPr>
        <w:tabs>
          <w:tab w:val="left" w:pos="-90"/>
          <w:tab w:val="left" w:pos="0"/>
        </w:tabs>
        <w:jc w:val="both"/>
        <w:rPr>
          <w:rFonts w:ascii="Calibri" w:hAnsi="Calibri" w:cs="Calibri"/>
          <w:sz w:val="12"/>
          <w:szCs w:val="12"/>
        </w:rPr>
      </w:pPr>
    </w:p>
    <w:p w:rsidR="000D4A0B" w:rsidRPr="0092627D" w:rsidRDefault="000D4A0B" w:rsidP="00A46BB4">
      <w:pPr>
        <w:pStyle w:val="productlist"/>
        <w:spacing w:after="60" w:line="240" w:lineRule="auto"/>
        <w:ind w:left="0"/>
        <w:rPr>
          <w:rFonts w:ascii="Calibri" w:hAnsi="Calibri" w:cs="Calibri"/>
          <w:sz w:val="22"/>
          <w:szCs w:val="22"/>
          <w:lang w:val="de-DE"/>
        </w:rPr>
        <w:sectPr w:rsidR="000D4A0B" w:rsidRPr="0092627D"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0D4A0B" w:rsidRPr="0092627D" w:rsidRDefault="000D4A0B" w:rsidP="00405474">
      <w:pPr>
        <w:pStyle w:val="productlist"/>
        <w:numPr>
          <w:ilvl w:val="0"/>
          <w:numId w:val="9"/>
        </w:numPr>
        <w:tabs>
          <w:tab w:val="left" w:pos="828"/>
        </w:tabs>
        <w:spacing w:after="0" w:line="240" w:lineRule="auto"/>
        <w:rPr>
          <w:rFonts w:ascii="Calibri" w:hAnsi="Calibri"/>
          <w:lang w:val="de-DE"/>
        </w:rPr>
      </w:pPr>
      <w:r w:rsidRPr="0092627D">
        <w:rPr>
          <w:rFonts w:ascii="Calibri" w:hAnsi="Calibri"/>
          <w:sz w:val="22"/>
          <w:lang w:val="de-DE"/>
        </w:rPr>
        <w:lastRenderedPageBreak/>
        <w:t>Bing Maps-Konzernplattform</w:t>
      </w:r>
    </w:p>
    <w:p w:rsidR="000D4A0B" w:rsidRPr="0092627D" w:rsidRDefault="000D4A0B" w:rsidP="00405474">
      <w:pPr>
        <w:pStyle w:val="productlist"/>
        <w:numPr>
          <w:ilvl w:val="0"/>
          <w:numId w:val="9"/>
        </w:numPr>
        <w:tabs>
          <w:tab w:val="left" w:pos="828"/>
        </w:tabs>
        <w:spacing w:after="0" w:line="240" w:lineRule="auto"/>
        <w:rPr>
          <w:rFonts w:ascii="Calibri" w:hAnsi="Calibri"/>
          <w:lang w:val="de-DE"/>
        </w:rPr>
      </w:pPr>
      <w:r w:rsidRPr="0092627D">
        <w:rPr>
          <w:rFonts w:ascii="Calibri" w:hAnsi="Calibri"/>
          <w:sz w:val="22"/>
          <w:lang w:val="de-DE"/>
        </w:rPr>
        <w:t>Bing Maps Mobile Asset Management</w:t>
      </w:r>
    </w:p>
    <w:p w:rsidR="000D4A0B" w:rsidRPr="0092627D" w:rsidRDefault="000D4A0B" w:rsidP="00405474">
      <w:pPr>
        <w:pStyle w:val="productlist"/>
        <w:numPr>
          <w:ilvl w:val="0"/>
          <w:numId w:val="9"/>
        </w:numPr>
        <w:tabs>
          <w:tab w:val="left" w:pos="828"/>
        </w:tabs>
        <w:spacing w:after="0" w:line="240" w:lineRule="auto"/>
        <w:rPr>
          <w:rFonts w:ascii="Calibri" w:hAnsi="Calibri"/>
          <w:lang w:val="de-DE"/>
        </w:rPr>
      </w:pPr>
      <w:r w:rsidRPr="0092627D">
        <w:rPr>
          <w:rFonts w:ascii="Calibri" w:hAnsi="Calibri"/>
          <w:sz w:val="22"/>
          <w:lang w:val="de-DE"/>
        </w:rPr>
        <w:t>Duet Enterprise Online</w:t>
      </w:r>
    </w:p>
    <w:p w:rsidR="000D4A0B" w:rsidRPr="0092627D" w:rsidRDefault="000D4A0B" w:rsidP="00405474">
      <w:pPr>
        <w:pStyle w:val="productlist"/>
        <w:numPr>
          <w:ilvl w:val="0"/>
          <w:numId w:val="9"/>
        </w:numPr>
        <w:tabs>
          <w:tab w:val="left" w:pos="828"/>
        </w:tabs>
        <w:spacing w:after="0" w:line="240" w:lineRule="auto"/>
        <w:rPr>
          <w:rFonts w:ascii="Calibri" w:hAnsi="Calibri"/>
          <w:lang w:val="de-DE"/>
        </w:rPr>
      </w:pPr>
      <w:r w:rsidRPr="0092627D">
        <w:rPr>
          <w:rFonts w:ascii="Calibri" w:hAnsi="Calibri"/>
          <w:sz w:val="22"/>
          <w:lang w:val="de-DE"/>
        </w:rPr>
        <w:t>Dynamics CRM Online</w:t>
      </w:r>
    </w:p>
    <w:p w:rsidR="000D4A0B" w:rsidRPr="0092627D" w:rsidRDefault="000D4A0B" w:rsidP="00405474">
      <w:pPr>
        <w:pStyle w:val="productlist"/>
        <w:numPr>
          <w:ilvl w:val="0"/>
          <w:numId w:val="9"/>
        </w:numPr>
        <w:tabs>
          <w:tab w:val="left" w:pos="828"/>
        </w:tabs>
        <w:spacing w:after="0" w:line="240" w:lineRule="auto"/>
        <w:rPr>
          <w:rFonts w:ascii="Calibri" w:hAnsi="Calibri"/>
          <w:lang w:val="de-DE"/>
        </w:rPr>
      </w:pPr>
      <w:r w:rsidRPr="0092627D">
        <w:rPr>
          <w:rFonts w:ascii="Calibri" w:hAnsi="Calibri"/>
          <w:sz w:val="22"/>
          <w:lang w:val="de-DE"/>
        </w:rPr>
        <w:t>Exchange Online-Archivierung</w:t>
      </w:r>
    </w:p>
    <w:p w:rsidR="000D4A0B" w:rsidRPr="0092627D" w:rsidRDefault="000D4A0B" w:rsidP="00405474">
      <w:pPr>
        <w:pStyle w:val="productlist"/>
        <w:numPr>
          <w:ilvl w:val="0"/>
          <w:numId w:val="9"/>
        </w:numPr>
        <w:tabs>
          <w:tab w:val="left" w:pos="828"/>
        </w:tabs>
        <w:spacing w:after="0" w:line="240" w:lineRule="auto"/>
        <w:rPr>
          <w:rFonts w:ascii="Calibri" w:hAnsi="Calibri"/>
          <w:lang w:val="de-DE"/>
        </w:rPr>
      </w:pPr>
      <w:r w:rsidRPr="0092627D">
        <w:rPr>
          <w:rFonts w:ascii="Calibri" w:hAnsi="Calibri"/>
          <w:sz w:val="22"/>
          <w:lang w:val="de-DE"/>
        </w:rPr>
        <w:t>Exchange Online</w:t>
      </w:r>
    </w:p>
    <w:p w:rsidR="000D4A0B" w:rsidRPr="0092627D" w:rsidRDefault="000D4A0B" w:rsidP="00405474">
      <w:pPr>
        <w:pStyle w:val="productlist"/>
        <w:numPr>
          <w:ilvl w:val="0"/>
          <w:numId w:val="9"/>
        </w:numPr>
        <w:tabs>
          <w:tab w:val="left" w:pos="828"/>
        </w:tabs>
        <w:spacing w:after="0" w:line="240" w:lineRule="auto"/>
        <w:rPr>
          <w:rFonts w:ascii="Calibri" w:hAnsi="Calibri"/>
          <w:lang w:val="de-DE"/>
        </w:rPr>
      </w:pPr>
      <w:r w:rsidRPr="0092627D">
        <w:rPr>
          <w:rFonts w:ascii="Calibri" w:hAnsi="Calibri"/>
          <w:sz w:val="22"/>
          <w:lang w:val="de-DE"/>
        </w:rPr>
        <w:t>Exchange Online Protection</w:t>
      </w:r>
    </w:p>
    <w:p w:rsidR="000D4A0B" w:rsidRPr="0092627D" w:rsidRDefault="000D4A0B" w:rsidP="00405474">
      <w:pPr>
        <w:pStyle w:val="productlist"/>
        <w:numPr>
          <w:ilvl w:val="0"/>
          <w:numId w:val="9"/>
        </w:numPr>
        <w:tabs>
          <w:tab w:val="left" w:pos="828"/>
        </w:tabs>
        <w:spacing w:after="0" w:line="240" w:lineRule="auto"/>
        <w:rPr>
          <w:rFonts w:ascii="Calibri" w:hAnsi="Calibri"/>
          <w:lang w:val="de-DE"/>
        </w:rPr>
      </w:pPr>
      <w:r w:rsidRPr="0092627D">
        <w:rPr>
          <w:rFonts w:ascii="Calibri" w:hAnsi="Calibri"/>
          <w:sz w:val="22"/>
          <w:lang w:val="de-DE"/>
        </w:rPr>
        <w:t>Lync Online</w:t>
      </w:r>
    </w:p>
    <w:p w:rsidR="000D4A0B" w:rsidRPr="0092627D" w:rsidRDefault="000D4A0B" w:rsidP="00405474">
      <w:pPr>
        <w:pStyle w:val="productlist"/>
        <w:numPr>
          <w:ilvl w:val="0"/>
          <w:numId w:val="9"/>
        </w:numPr>
        <w:tabs>
          <w:tab w:val="left" w:pos="828"/>
        </w:tabs>
        <w:spacing w:after="0" w:line="240" w:lineRule="auto"/>
        <w:rPr>
          <w:rFonts w:ascii="Calibri" w:hAnsi="Calibri"/>
          <w:lang w:val="de-DE"/>
        </w:rPr>
      </w:pPr>
      <w:r w:rsidRPr="0092627D">
        <w:rPr>
          <w:rFonts w:ascii="Calibri" w:hAnsi="Calibri"/>
          <w:sz w:val="22"/>
          <w:lang w:val="de-DE"/>
        </w:rPr>
        <w:lastRenderedPageBreak/>
        <w:t>Microsoft Rights Management</w:t>
      </w:r>
    </w:p>
    <w:p w:rsidR="000D4A0B" w:rsidRPr="0092627D" w:rsidRDefault="000D4A0B" w:rsidP="00405474">
      <w:pPr>
        <w:pStyle w:val="productlist"/>
        <w:numPr>
          <w:ilvl w:val="0"/>
          <w:numId w:val="9"/>
        </w:numPr>
        <w:tabs>
          <w:tab w:val="left" w:pos="828"/>
        </w:tabs>
        <w:spacing w:after="0" w:line="240" w:lineRule="auto"/>
        <w:rPr>
          <w:rFonts w:ascii="Calibri" w:hAnsi="Calibri"/>
          <w:lang w:val="de-DE"/>
        </w:rPr>
      </w:pPr>
      <w:r w:rsidRPr="0092627D">
        <w:rPr>
          <w:rFonts w:ascii="Calibri" w:hAnsi="Calibri"/>
          <w:sz w:val="22"/>
          <w:lang w:val="de-DE"/>
        </w:rPr>
        <w:t>Office-Webanwendungen</w:t>
      </w:r>
    </w:p>
    <w:p w:rsidR="000D4A0B" w:rsidRPr="0092627D" w:rsidRDefault="000D4A0B" w:rsidP="00405474">
      <w:pPr>
        <w:pStyle w:val="productlist"/>
        <w:numPr>
          <w:ilvl w:val="0"/>
          <w:numId w:val="9"/>
        </w:numPr>
        <w:tabs>
          <w:tab w:val="left" w:pos="828"/>
        </w:tabs>
        <w:spacing w:after="0" w:line="240" w:lineRule="auto"/>
        <w:rPr>
          <w:rFonts w:ascii="Calibri" w:hAnsi="Calibri"/>
          <w:lang w:val="de-DE"/>
        </w:rPr>
      </w:pPr>
      <w:r w:rsidRPr="0092627D">
        <w:rPr>
          <w:rFonts w:ascii="Calibri" w:hAnsi="Calibri"/>
          <w:sz w:val="22"/>
          <w:lang w:val="de-DE"/>
        </w:rPr>
        <w:t>Power BI für Office 365</w:t>
      </w:r>
    </w:p>
    <w:p w:rsidR="000D4A0B" w:rsidRPr="0092627D" w:rsidRDefault="000D4A0B" w:rsidP="00405474">
      <w:pPr>
        <w:pStyle w:val="productlist"/>
        <w:numPr>
          <w:ilvl w:val="0"/>
          <w:numId w:val="9"/>
        </w:numPr>
        <w:tabs>
          <w:tab w:val="left" w:pos="828"/>
        </w:tabs>
        <w:spacing w:after="0" w:line="240" w:lineRule="auto"/>
        <w:rPr>
          <w:rFonts w:ascii="Calibri" w:hAnsi="Calibri"/>
          <w:lang w:val="de-DE"/>
        </w:rPr>
      </w:pPr>
      <w:r w:rsidRPr="0092627D">
        <w:rPr>
          <w:rFonts w:ascii="Calibri" w:hAnsi="Calibri"/>
          <w:sz w:val="22"/>
          <w:lang w:val="de-DE"/>
        </w:rPr>
        <w:t>Project Online</w:t>
      </w:r>
    </w:p>
    <w:p w:rsidR="000D4A0B" w:rsidRPr="0092627D" w:rsidRDefault="000D4A0B" w:rsidP="00405474">
      <w:pPr>
        <w:pStyle w:val="productlist"/>
        <w:numPr>
          <w:ilvl w:val="0"/>
          <w:numId w:val="9"/>
        </w:numPr>
        <w:tabs>
          <w:tab w:val="left" w:pos="828"/>
        </w:tabs>
        <w:spacing w:after="0" w:line="240" w:lineRule="auto"/>
        <w:rPr>
          <w:rFonts w:ascii="Calibri" w:hAnsi="Calibri"/>
          <w:lang w:val="de-DE"/>
        </w:rPr>
      </w:pPr>
      <w:r w:rsidRPr="0092627D">
        <w:rPr>
          <w:rFonts w:ascii="Calibri" w:hAnsi="Calibri"/>
          <w:sz w:val="22"/>
          <w:lang w:val="de-DE"/>
        </w:rPr>
        <w:t>SharePoint Online</w:t>
      </w:r>
    </w:p>
    <w:p w:rsidR="000D4A0B" w:rsidRPr="0092627D" w:rsidRDefault="000D4A0B" w:rsidP="00405474">
      <w:pPr>
        <w:pStyle w:val="productlist"/>
        <w:numPr>
          <w:ilvl w:val="0"/>
          <w:numId w:val="9"/>
        </w:numPr>
        <w:tabs>
          <w:tab w:val="left" w:pos="828"/>
        </w:tabs>
        <w:spacing w:after="0" w:line="240" w:lineRule="auto"/>
        <w:rPr>
          <w:rFonts w:ascii="Calibri" w:hAnsi="Calibri"/>
          <w:lang w:val="de-DE"/>
        </w:rPr>
      </w:pPr>
      <w:r w:rsidRPr="0092627D">
        <w:rPr>
          <w:rFonts w:ascii="Calibri" w:hAnsi="Calibri"/>
          <w:sz w:val="22"/>
          <w:lang w:val="de-DE"/>
        </w:rPr>
        <w:t>Translator API</w:t>
      </w:r>
    </w:p>
    <w:p w:rsidR="000D4A0B" w:rsidRPr="0092627D" w:rsidRDefault="000D4A0B" w:rsidP="00405474">
      <w:pPr>
        <w:pStyle w:val="productlist"/>
        <w:numPr>
          <w:ilvl w:val="0"/>
          <w:numId w:val="9"/>
        </w:numPr>
        <w:tabs>
          <w:tab w:val="left" w:pos="828"/>
        </w:tabs>
        <w:spacing w:after="0" w:line="240" w:lineRule="auto"/>
        <w:rPr>
          <w:rFonts w:ascii="Calibri" w:hAnsi="Calibri"/>
          <w:lang w:val="de-DE"/>
        </w:rPr>
      </w:pPr>
      <w:r w:rsidRPr="0092627D">
        <w:rPr>
          <w:rFonts w:ascii="Calibri" w:hAnsi="Calibri"/>
          <w:sz w:val="22"/>
          <w:lang w:val="de-DE"/>
        </w:rPr>
        <w:t>Windows Intune</w:t>
      </w:r>
    </w:p>
    <w:p w:rsidR="000D4A0B" w:rsidRPr="0092627D" w:rsidRDefault="000D4A0B" w:rsidP="00405474">
      <w:pPr>
        <w:pStyle w:val="productlist"/>
        <w:numPr>
          <w:ilvl w:val="0"/>
          <w:numId w:val="9"/>
        </w:numPr>
        <w:tabs>
          <w:tab w:val="left" w:pos="828"/>
        </w:tabs>
        <w:spacing w:after="0" w:line="240" w:lineRule="auto"/>
        <w:rPr>
          <w:rFonts w:ascii="Calibri" w:hAnsi="Calibri"/>
          <w:lang w:val="de-DE"/>
        </w:rPr>
      </w:pPr>
      <w:r w:rsidRPr="0092627D">
        <w:rPr>
          <w:rFonts w:ascii="Calibri" w:hAnsi="Calibri"/>
          <w:sz w:val="22"/>
          <w:lang w:val="de-DE"/>
        </w:rPr>
        <w:t>Yammer Enterprise</w:t>
      </w:r>
    </w:p>
    <w:p w:rsidR="000D4A0B" w:rsidRPr="0092627D" w:rsidRDefault="000D4A0B" w:rsidP="00AB4F15">
      <w:pPr>
        <w:tabs>
          <w:tab w:val="left" w:pos="-90"/>
          <w:tab w:val="left" w:pos="0"/>
        </w:tabs>
        <w:jc w:val="both"/>
        <w:rPr>
          <w:rFonts w:ascii="Calibri" w:hAnsi="Calibri" w:cs="Calibri"/>
          <w:sz w:val="22"/>
          <w:szCs w:val="22"/>
          <w:lang w:val="de-DE"/>
        </w:rPr>
        <w:sectPr w:rsidR="000D4A0B" w:rsidRPr="0092627D" w:rsidSect="00F24CA5">
          <w:type w:val="continuous"/>
          <w:pgSz w:w="12240" w:h="15840"/>
          <w:pgMar w:top="1440" w:right="1440" w:bottom="1440" w:left="1440" w:header="720" w:footer="720" w:gutter="0"/>
          <w:cols w:num="2" w:space="720"/>
          <w:docGrid w:linePitch="360"/>
        </w:sectPr>
      </w:pPr>
    </w:p>
    <w:p w:rsidR="000D4A0B" w:rsidRPr="00B46E3E" w:rsidRDefault="000D4A0B" w:rsidP="00AB4F15">
      <w:pPr>
        <w:tabs>
          <w:tab w:val="left" w:pos="-90"/>
          <w:tab w:val="left" w:pos="0"/>
        </w:tabs>
        <w:jc w:val="both"/>
        <w:rPr>
          <w:rFonts w:ascii="Calibri" w:hAnsi="Calibri" w:cs="Calibri"/>
          <w:sz w:val="12"/>
          <w:szCs w:val="12"/>
        </w:rPr>
      </w:pPr>
    </w:p>
    <w:p w:rsidR="000D4A0B" w:rsidRPr="0092627D" w:rsidRDefault="000D4A0B" w:rsidP="00E160CA">
      <w:pPr>
        <w:tabs>
          <w:tab w:val="left" w:pos="-90"/>
          <w:tab w:val="left" w:pos="0"/>
        </w:tabs>
        <w:jc w:val="both"/>
        <w:rPr>
          <w:rFonts w:ascii="Calibri" w:hAnsi="Calibri"/>
          <w:lang w:val="de-DE"/>
        </w:rPr>
      </w:pPr>
      <w:r w:rsidRPr="0092627D">
        <w:rPr>
          <w:rFonts w:ascii="Calibri" w:hAnsi="Calibri"/>
          <w:sz w:val="22"/>
          <w:lang w:val="de-DE"/>
        </w:rPr>
        <w:t>Unsere Verpflichtung, die Servicelevel für unsere Dienste einzuhalten und aufrechtzuerhalten, unterstützen wir finanziell.</w:t>
      </w:r>
      <w:r w:rsidRPr="0092627D">
        <w:rPr>
          <w:rFonts w:ascii="Calibri" w:hAnsi="Calibri"/>
          <w:lang w:val="de-DE"/>
        </w:rPr>
        <w:t xml:space="preserve"> </w:t>
      </w:r>
      <w:r w:rsidRPr="0092627D">
        <w:rPr>
          <w:rFonts w:ascii="Calibri" w:hAnsi="Calibri"/>
          <w:sz w:val="22"/>
          <w:lang w:val="de-DE"/>
        </w:rPr>
        <w:t>Wenn wir die Servicelevel für jeden Dienst nicht wie in dieser SLA beschrieben einhalten und aufrechterhalten, dann sind Sie womöglich zu einer Gutschrift über einen Teil Ihrer monatlichen Dienstgebühren berechtigt.</w:t>
      </w:r>
      <w:r w:rsidRPr="0092627D">
        <w:rPr>
          <w:rFonts w:ascii="Calibri" w:hAnsi="Calibri"/>
          <w:lang w:val="de-DE"/>
        </w:rPr>
        <w:t xml:space="preserve"> </w:t>
      </w:r>
      <w:r w:rsidRPr="0092627D">
        <w:rPr>
          <w:rFonts w:ascii="Calibri" w:hAnsi="Calibri"/>
          <w:sz w:val="22"/>
          <w:lang w:val="de-DE"/>
        </w:rPr>
        <w:t>Während der anfänglichen Laufzeit Ihres Abonnements werden wir die Bestimmungen Ihrer SLA nicht ändern. Wenn Sie jedoch Ihr Abonnement verlängern, dann gilt die Version dieser SLA, die zum Zeitpunkt der Verlängerung aktuell ist, für den Verlängerungszeitraum.</w:t>
      </w:r>
    </w:p>
    <w:p w:rsidR="000D4A0B" w:rsidRPr="00BC187C" w:rsidRDefault="000D4A0B" w:rsidP="00627D84">
      <w:pPr>
        <w:tabs>
          <w:tab w:val="left" w:pos="-90"/>
          <w:tab w:val="left" w:pos="0"/>
        </w:tabs>
        <w:jc w:val="both"/>
        <w:rPr>
          <w:rFonts w:ascii="Calibri" w:hAnsi="Calibri" w:cs="Calibri"/>
          <w:b/>
          <w:sz w:val="12"/>
          <w:szCs w:val="12"/>
          <w:lang w:val="de-DE"/>
        </w:rPr>
      </w:pPr>
    </w:p>
    <w:p w:rsidR="000D4A0B" w:rsidRPr="0092627D" w:rsidRDefault="000D4A0B" w:rsidP="00F1062F">
      <w:pPr>
        <w:pStyle w:val="ListParagraph"/>
        <w:numPr>
          <w:ilvl w:val="0"/>
          <w:numId w:val="7"/>
        </w:numPr>
        <w:tabs>
          <w:tab w:val="left" w:pos="-90"/>
          <w:tab w:val="left" w:pos="0"/>
        </w:tabs>
        <w:jc w:val="both"/>
        <w:rPr>
          <w:rFonts w:ascii="Calibri" w:hAnsi="Calibri"/>
          <w:lang w:val="de-DE"/>
        </w:rPr>
      </w:pPr>
      <w:r w:rsidRPr="0092627D">
        <w:rPr>
          <w:rFonts w:ascii="Calibri" w:hAnsi="Calibri"/>
          <w:b/>
          <w:sz w:val="22"/>
          <w:u w:val="single"/>
          <w:lang w:val="de-DE"/>
        </w:rPr>
        <w:t>Definitionen</w:t>
      </w:r>
      <w:r w:rsidRPr="0092627D">
        <w:rPr>
          <w:rFonts w:ascii="Calibri" w:hAnsi="Calibri"/>
          <w:b/>
          <w:sz w:val="22"/>
          <w:lang w:val="de-DE"/>
        </w:rPr>
        <w:t>.</w:t>
      </w:r>
    </w:p>
    <w:p w:rsidR="000D4A0B" w:rsidRPr="00172AC0" w:rsidRDefault="000D4A0B" w:rsidP="00156D8F">
      <w:pPr>
        <w:tabs>
          <w:tab w:val="left" w:pos="-90"/>
          <w:tab w:val="left" w:pos="0"/>
        </w:tabs>
        <w:jc w:val="both"/>
        <w:rPr>
          <w:rFonts w:ascii="Calibri" w:hAnsi="Calibri" w:cs="Calibri"/>
          <w:b/>
          <w:sz w:val="12"/>
          <w:szCs w:val="12"/>
        </w:rPr>
      </w:pPr>
    </w:p>
    <w:p w:rsidR="000D4A0B" w:rsidRPr="0092627D" w:rsidRDefault="000D4A0B" w:rsidP="00C366CE">
      <w:pPr>
        <w:pStyle w:val="ListParagraph"/>
        <w:suppressAutoHyphens w:val="0"/>
        <w:autoSpaceDN/>
        <w:spacing w:after="200"/>
        <w:ind w:left="360"/>
        <w:jc w:val="both"/>
        <w:textAlignment w:val="auto"/>
        <w:rPr>
          <w:rFonts w:ascii="Calibri" w:hAnsi="Calibri"/>
          <w:lang w:val="de-DE"/>
        </w:rPr>
      </w:pPr>
      <w:r w:rsidRPr="0092627D">
        <w:rPr>
          <w:rFonts w:ascii="Calibri" w:hAnsi="Calibri"/>
          <w:sz w:val="22"/>
          <w:lang w:val="de-DE"/>
        </w:rPr>
        <w:t>„</w:t>
      </w:r>
      <w:r w:rsidRPr="0092627D">
        <w:rPr>
          <w:rFonts w:ascii="Calibri" w:hAnsi="Calibri"/>
          <w:sz w:val="22"/>
          <w:u w:val="single"/>
          <w:lang w:val="de-DE"/>
        </w:rPr>
        <w:t>Anwendbare Monatliche Dienstgebühren</w:t>
      </w:r>
      <w:r w:rsidRPr="0092627D">
        <w:rPr>
          <w:rFonts w:ascii="Calibri" w:hAnsi="Calibri"/>
          <w:sz w:val="22"/>
          <w:lang w:val="de-DE"/>
        </w:rPr>
        <w:t>“ sind die Gesamtgebühren, die von Ihnen tatsächlich für einen Dienst gezahlt werden und auf den Monat angewendet werden, in dem eine Dienstgutschrift geschuldet wird.</w:t>
      </w:r>
    </w:p>
    <w:p w:rsidR="000D4A0B" w:rsidRPr="00BC187C" w:rsidRDefault="000D4A0B" w:rsidP="00C366CE">
      <w:pPr>
        <w:pStyle w:val="ListParagraph"/>
        <w:suppressAutoHyphens w:val="0"/>
        <w:autoSpaceDN/>
        <w:spacing w:after="200"/>
        <w:ind w:left="360"/>
        <w:jc w:val="both"/>
        <w:textAlignment w:val="auto"/>
        <w:rPr>
          <w:rFonts w:ascii="Calibri" w:hAnsi="Calibri" w:cs="Calibri"/>
          <w:sz w:val="12"/>
          <w:szCs w:val="12"/>
          <w:lang w:val="de-DE"/>
        </w:rPr>
      </w:pPr>
    </w:p>
    <w:p w:rsidR="000D4A0B" w:rsidRPr="0092627D" w:rsidRDefault="000D4A0B" w:rsidP="00C366CE">
      <w:pPr>
        <w:pStyle w:val="ListParagraph"/>
        <w:suppressAutoHyphens w:val="0"/>
        <w:autoSpaceDN/>
        <w:spacing w:after="200"/>
        <w:ind w:left="360"/>
        <w:jc w:val="both"/>
        <w:textAlignment w:val="auto"/>
        <w:rPr>
          <w:rFonts w:ascii="Calibri" w:hAnsi="Calibri"/>
          <w:lang w:val="de-DE"/>
        </w:rPr>
      </w:pPr>
      <w:r w:rsidRPr="0092627D">
        <w:rPr>
          <w:rFonts w:ascii="Calibri" w:hAnsi="Calibri"/>
          <w:sz w:val="22"/>
          <w:lang w:val="de-DE"/>
        </w:rPr>
        <w:t>„</w:t>
      </w:r>
      <w:r w:rsidRPr="0092627D">
        <w:rPr>
          <w:rFonts w:ascii="Calibri" w:hAnsi="Calibri"/>
          <w:sz w:val="22"/>
          <w:u w:val="single"/>
          <w:lang w:val="de-DE"/>
        </w:rPr>
        <w:t>Ausfallzeiten</w:t>
      </w:r>
      <w:r w:rsidRPr="0092627D">
        <w:rPr>
          <w:rFonts w:ascii="Calibri" w:hAnsi="Calibri"/>
          <w:sz w:val="22"/>
          <w:lang w:val="de-DE"/>
        </w:rPr>
        <w:t>“ bezeichnet einen Zeitraum, in dem die in der folgenden Tabelle angegebenen Merkmale eines Diensts nicht verfügbar sind, ohne (i) Geplante Ausfallzeiten und (ii) Nichtverfügbarkeit eines Diensts aufgrund von Beschränkungen, die in Ziffer 5(a) unten beschrieben sind.</w:t>
      </w:r>
      <w:r w:rsidRPr="0092627D">
        <w:rPr>
          <w:rFonts w:ascii="Calibri" w:hAnsi="Calibri"/>
          <w:lang w:val="de-DE"/>
        </w:rPr>
        <w:t xml:space="preserve"> </w:t>
      </w:r>
      <w:r w:rsidRPr="0092627D">
        <w:rPr>
          <w:rFonts w:ascii="Calibri" w:hAnsi="Calibri"/>
          <w:sz w:val="22"/>
          <w:lang w:val="de-DE"/>
        </w:rPr>
        <w:t>Die Ausfallzeiten werden auf die unter Ziffer 3 beschriebene Art und Weise in Einheiten gemessen.</w:t>
      </w:r>
    </w:p>
    <w:p w:rsidR="000D4A0B" w:rsidRPr="00BC187C" w:rsidRDefault="000D4A0B" w:rsidP="00D85BEB">
      <w:pPr>
        <w:pStyle w:val="ListParagraph"/>
        <w:suppressAutoHyphens w:val="0"/>
        <w:autoSpaceDN/>
        <w:spacing w:after="200"/>
        <w:ind w:left="360"/>
        <w:jc w:val="both"/>
        <w:textAlignment w:val="auto"/>
        <w:rPr>
          <w:rFonts w:ascii="Calibri" w:hAnsi="Calibri" w:cs="Calibri"/>
          <w:sz w:val="12"/>
          <w:szCs w:val="12"/>
          <w:lang w:val="de-DE"/>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5893"/>
      </w:tblGrid>
      <w:tr w:rsidR="000D4A0B" w:rsidRPr="0092627D" w:rsidTr="00AB4F15">
        <w:trPr>
          <w:trHeight w:val="377"/>
        </w:trPr>
        <w:tc>
          <w:tcPr>
            <w:tcW w:w="3192" w:type="dxa"/>
            <w:shd w:val="clear" w:color="auto" w:fill="D9D9D9"/>
            <w:vAlign w:val="center"/>
          </w:tcPr>
          <w:p w:rsidR="000D4A0B" w:rsidRPr="0092627D" w:rsidRDefault="000D4A0B" w:rsidP="00FC5E2D">
            <w:pPr>
              <w:pStyle w:val="ListParagraph"/>
              <w:suppressAutoHyphens w:val="0"/>
              <w:autoSpaceDN/>
              <w:spacing w:before="120" w:after="120"/>
              <w:ind w:left="0"/>
              <w:textAlignment w:val="auto"/>
              <w:rPr>
                <w:rFonts w:ascii="Calibri" w:hAnsi="Calibri" w:cs="Calibri"/>
                <w:b/>
                <w:sz w:val="22"/>
                <w:lang w:val="de-DE"/>
              </w:rPr>
            </w:pPr>
            <w:r w:rsidRPr="0092627D">
              <w:rPr>
                <w:rFonts w:ascii="Calibri" w:hAnsi="Calibri" w:cs="Calibri"/>
                <w:b/>
                <w:sz w:val="22"/>
                <w:szCs w:val="22"/>
                <w:lang w:val="de-DE"/>
              </w:rPr>
              <w:t>Onlinedienst</w:t>
            </w:r>
          </w:p>
        </w:tc>
        <w:tc>
          <w:tcPr>
            <w:tcW w:w="5893" w:type="dxa"/>
            <w:shd w:val="clear" w:color="auto" w:fill="D9D9D9"/>
            <w:vAlign w:val="center"/>
          </w:tcPr>
          <w:p w:rsidR="000D4A0B" w:rsidRPr="0092627D" w:rsidRDefault="000D4A0B" w:rsidP="00FC5E2D">
            <w:pPr>
              <w:pStyle w:val="ListParagraph"/>
              <w:suppressAutoHyphens w:val="0"/>
              <w:autoSpaceDN/>
              <w:spacing w:before="120" w:after="120"/>
              <w:ind w:left="0"/>
              <w:contextualSpacing w:val="0"/>
              <w:textAlignment w:val="auto"/>
              <w:rPr>
                <w:rFonts w:ascii="Calibri" w:hAnsi="Calibri" w:cs="Calibri"/>
                <w:b/>
                <w:sz w:val="22"/>
                <w:lang w:val="de-DE"/>
              </w:rPr>
            </w:pPr>
            <w:r w:rsidRPr="0092627D">
              <w:rPr>
                <w:rFonts w:ascii="Calibri" w:hAnsi="Calibri" w:cs="Calibri"/>
                <w:b/>
                <w:sz w:val="22"/>
                <w:szCs w:val="22"/>
                <w:lang w:val="de-DE"/>
              </w:rPr>
              <w:t xml:space="preserve">Definition von Ausfallzeiten </w:t>
            </w:r>
          </w:p>
        </w:tc>
      </w:tr>
      <w:tr w:rsidR="000D4A0B" w:rsidRPr="00BC187C" w:rsidTr="00AB4F15">
        <w:tc>
          <w:tcPr>
            <w:tcW w:w="3192" w:type="dxa"/>
            <w:vAlign w:val="center"/>
          </w:tcPr>
          <w:p w:rsidR="000D4A0B" w:rsidRPr="0092627D" w:rsidRDefault="000D4A0B" w:rsidP="00281493">
            <w:pPr>
              <w:pStyle w:val="ListParagraph"/>
              <w:suppressAutoHyphens w:val="0"/>
              <w:autoSpaceDN/>
              <w:spacing w:before="120" w:after="120"/>
              <w:ind w:left="0"/>
              <w:contextualSpacing w:val="0"/>
              <w:textAlignment w:val="auto"/>
              <w:rPr>
                <w:rFonts w:ascii="Calibri" w:hAnsi="Calibri" w:cs="Calibri"/>
                <w:sz w:val="22"/>
                <w:lang w:val="de-DE"/>
              </w:rPr>
            </w:pPr>
            <w:r w:rsidRPr="0092627D">
              <w:rPr>
                <w:rFonts w:ascii="Calibri" w:hAnsi="Calibri"/>
                <w:sz w:val="22"/>
                <w:lang w:val="de-DE"/>
              </w:rPr>
              <w:t>Bing Maps-Konzernplattform und Bing Maps Mobile Asset Management</w:t>
            </w:r>
          </w:p>
        </w:tc>
        <w:tc>
          <w:tcPr>
            <w:tcW w:w="5893" w:type="dxa"/>
            <w:vAlign w:val="center"/>
          </w:tcPr>
          <w:p w:rsidR="000D4A0B" w:rsidRPr="0092627D" w:rsidRDefault="000D4A0B" w:rsidP="00FC5E2D">
            <w:pPr>
              <w:pStyle w:val="ListParagraph"/>
              <w:suppressAutoHyphens w:val="0"/>
              <w:autoSpaceDN/>
              <w:spacing w:before="120" w:after="120"/>
              <w:ind w:left="0"/>
              <w:contextualSpacing w:val="0"/>
              <w:textAlignment w:val="auto"/>
              <w:rPr>
                <w:rFonts w:ascii="Calibri" w:hAnsi="Calibri" w:cs="Calibri"/>
                <w:sz w:val="22"/>
                <w:lang w:val="de-DE"/>
              </w:rPr>
            </w:pPr>
            <w:r w:rsidRPr="0092627D">
              <w:rPr>
                <w:rFonts w:ascii="Calibri" w:hAnsi="Calibri"/>
                <w:sz w:val="22"/>
                <w:lang w:val="de-DE"/>
              </w:rPr>
              <w:t>Jeder Zeitraum, in dem der Dienst entsprechend den Messungen in den Microsoft-Rechenzentren nicht verfügbar ist, vorausgesetzt, es werden die Zugriffs-, Authentifizierungs- und Verfolgungsmethoden verwendet, die in den Bing Maps Platform SDKs dokumentiert sind.</w:t>
            </w:r>
          </w:p>
        </w:tc>
      </w:tr>
      <w:tr w:rsidR="000D4A0B" w:rsidRPr="00BC187C" w:rsidTr="008A2417">
        <w:trPr>
          <w:cantSplit/>
        </w:trPr>
        <w:tc>
          <w:tcPr>
            <w:tcW w:w="3192" w:type="dxa"/>
            <w:vAlign w:val="center"/>
          </w:tcPr>
          <w:p w:rsidR="000D4A0B" w:rsidRPr="0092627D" w:rsidRDefault="000D4A0B" w:rsidP="00FC5E2D">
            <w:pPr>
              <w:pStyle w:val="ListParagraph"/>
              <w:suppressAutoHyphens w:val="0"/>
              <w:autoSpaceDN/>
              <w:spacing w:before="120" w:after="120"/>
              <w:ind w:left="0"/>
              <w:contextualSpacing w:val="0"/>
              <w:textAlignment w:val="auto"/>
              <w:rPr>
                <w:rFonts w:ascii="Calibri" w:hAnsi="Calibri" w:cs="Calibri"/>
                <w:sz w:val="22"/>
                <w:lang w:val="de-DE"/>
              </w:rPr>
            </w:pPr>
            <w:r w:rsidRPr="0092627D">
              <w:rPr>
                <w:rFonts w:ascii="Calibri" w:hAnsi="Calibri" w:cs="Calibri"/>
                <w:sz w:val="22"/>
                <w:szCs w:val="22"/>
                <w:lang w:val="de-DE"/>
              </w:rPr>
              <w:t>Duet Enterprise Online</w:t>
            </w:r>
          </w:p>
        </w:tc>
        <w:tc>
          <w:tcPr>
            <w:tcW w:w="5893" w:type="dxa"/>
            <w:vAlign w:val="center"/>
          </w:tcPr>
          <w:p w:rsidR="000D4A0B" w:rsidRPr="0092627D" w:rsidRDefault="000D4A0B" w:rsidP="00FC5E2D">
            <w:pPr>
              <w:pStyle w:val="ListParagraph"/>
              <w:spacing w:before="120" w:after="120"/>
              <w:ind w:left="0"/>
              <w:contextualSpacing w:val="0"/>
              <w:rPr>
                <w:rFonts w:ascii="Calibri" w:hAnsi="Calibri" w:cs="Calibri"/>
                <w:sz w:val="22"/>
                <w:lang w:val="de-DE"/>
              </w:rPr>
            </w:pPr>
            <w:r w:rsidRPr="0092627D">
              <w:rPr>
                <w:rFonts w:ascii="Calibri" w:hAnsi="Calibri" w:cs="Calibri"/>
                <w:sz w:val="22"/>
                <w:szCs w:val="22"/>
                <w:lang w:val="de-DE"/>
              </w:rPr>
              <w:t>Jeder Zeitraum, in dem die Nutzer keinen Lese- oder Schreibzugriff auf einen Teil einer SharePoint-Websitesammlung haben, für den sie die erforderlichen Berechtigungen besitzen</w:t>
            </w:r>
            <w:r w:rsidR="00BC187C">
              <w:rPr>
                <w:rFonts w:ascii="Calibri" w:hAnsi="Calibri" w:cs="Calibri"/>
                <w:sz w:val="22"/>
                <w:szCs w:val="22"/>
                <w:lang w:val="de-DE"/>
              </w:rPr>
              <w:t>.</w:t>
            </w:r>
          </w:p>
        </w:tc>
      </w:tr>
      <w:tr w:rsidR="000D4A0B" w:rsidRPr="00BC187C" w:rsidTr="00AB4F15">
        <w:tc>
          <w:tcPr>
            <w:tcW w:w="3192" w:type="dxa"/>
            <w:vAlign w:val="center"/>
          </w:tcPr>
          <w:p w:rsidR="000D4A0B" w:rsidRPr="0092627D" w:rsidRDefault="000D4A0B" w:rsidP="00FC5E2D">
            <w:pPr>
              <w:pStyle w:val="ListParagraph"/>
              <w:suppressAutoHyphens w:val="0"/>
              <w:autoSpaceDN/>
              <w:spacing w:before="120" w:after="120"/>
              <w:ind w:left="0"/>
              <w:textAlignment w:val="auto"/>
              <w:rPr>
                <w:rFonts w:ascii="Calibri" w:hAnsi="Calibri" w:cs="Calibri"/>
                <w:sz w:val="22"/>
                <w:lang w:val="de-DE"/>
              </w:rPr>
            </w:pPr>
            <w:r w:rsidRPr="0092627D">
              <w:rPr>
                <w:rFonts w:ascii="Calibri" w:hAnsi="Calibri" w:cs="Calibri"/>
                <w:sz w:val="22"/>
                <w:szCs w:val="22"/>
                <w:lang w:val="de-DE"/>
              </w:rPr>
              <w:lastRenderedPageBreak/>
              <w:t>Dynamics CRM Online</w:t>
            </w:r>
          </w:p>
        </w:tc>
        <w:tc>
          <w:tcPr>
            <w:tcW w:w="5893" w:type="dxa"/>
            <w:vAlign w:val="center"/>
          </w:tcPr>
          <w:p w:rsidR="000D4A0B" w:rsidRPr="0092627D" w:rsidRDefault="000D4A0B" w:rsidP="00FC5E2D">
            <w:pPr>
              <w:pStyle w:val="ListParagraph"/>
              <w:suppressAutoHyphens w:val="0"/>
              <w:autoSpaceDN/>
              <w:spacing w:before="120" w:after="120"/>
              <w:ind w:left="0"/>
              <w:contextualSpacing w:val="0"/>
              <w:textAlignment w:val="auto"/>
              <w:rPr>
                <w:rFonts w:ascii="Calibri" w:hAnsi="Calibri" w:cs="Calibri"/>
                <w:sz w:val="22"/>
                <w:lang w:val="de-DE"/>
              </w:rPr>
            </w:pPr>
            <w:r w:rsidRPr="0092627D">
              <w:rPr>
                <w:rFonts w:ascii="Calibri" w:hAnsi="Calibri" w:cs="Calibri"/>
                <w:sz w:val="22"/>
                <w:szCs w:val="22"/>
                <w:lang w:val="de-DE"/>
              </w:rPr>
              <w:t>Jeder Zeitraum, in dem Endbenutzer keinen Lese- oder Schreibzugriff auf Dienstdaten haben, für die sie die erforderliche Berechtigung besitzen, jedoch ohne Nichtverfügbarkeit der Add-On-Features des Diensts</w:t>
            </w:r>
            <w:r w:rsidR="00BC187C">
              <w:rPr>
                <w:rFonts w:ascii="Calibri" w:hAnsi="Calibri" w:cs="Calibri"/>
                <w:sz w:val="22"/>
                <w:szCs w:val="22"/>
                <w:lang w:val="de-DE"/>
              </w:rPr>
              <w:t>.</w:t>
            </w:r>
          </w:p>
        </w:tc>
      </w:tr>
      <w:tr w:rsidR="000D4A0B" w:rsidRPr="00BC187C" w:rsidTr="00AB4F15">
        <w:tc>
          <w:tcPr>
            <w:tcW w:w="3192" w:type="dxa"/>
            <w:vAlign w:val="center"/>
          </w:tcPr>
          <w:p w:rsidR="000D4A0B" w:rsidRPr="0092627D" w:rsidRDefault="000D4A0B" w:rsidP="00FC5E2D">
            <w:pPr>
              <w:pStyle w:val="ListParagraph"/>
              <w:suppressAutoHyphens w:val="0"/>
              <w:autoSpaceDN/>
              <w:spacing w:before="120" w:after="120"/>
              <w:ind w:left="0"/>
              <w:textAlignment w:val="auto"/>
              <w:rPr>
                <w:rFonts w:ascii="Calibri" w:hAnsi="Calibri" w:cs="Calibri"/>
                <w:sz w:val="22"/>
                <w:lang w:val="de-DE"/>
              </w:rPr>
            </w:pPr>
            <w:r w:rsidRPr="0092627D">
              <w:rPr>
                <w:rFonts w:ascii="Calibri" w:hAnsi="Calibri" w:cs="Calibri"/>
                <w:sz w:val="22"/>
                <w:szCs w:val="22"/>
                <w:lang w:val="de-DE"/>
              </w:rPr>
              <w:t>Exchange Online-Archivierung</w:t>
            </w:r>
          </w:p>
        </w:tc>
        <w:tc>
          <w:tcPr>
            <w:tcW w:w="5893" w:type="dxa"/>
            <w:vAlign w:val="center"/>
          </w:tcPr>
          <w:p w:rsidR="000D4A0B" w:rsidRPr="0092627D" w:rsidRDefault="000D4A0B" w:rsidP="00FC5E2D">
            <w:pPr>
              <w:pStyle w:val="ListParagraph"/>
              <w:suppressAutoHyphens w:val="0"/>
              <w:autoSpaceDN/>
              <w:spacing w:before="120" w:after="120"/>
              <w:ind w:left="0"/>
              <w:contextualSpacing w:val="0"/>
              <w:textAlignment w:val="auto"/>
              <w:rPr>
                <w:rFonts w:ascii="Calibri" w:hAnsi="Calibri" w:cs="Calibri"/>
                <w:sz w:val="22"/>
                <w:lang w:val="de-DE"/>
              </w:rPr>
            </w:pPr>
            <w:r w:rsidRPr="0092627D">
              <w:rPr>
                <w:rFonts w:ascii="Calibri" w:hAnsi="Calibri"/>
                <w:sz w:val="22"/>
                <w:lang w:val="de-DE"/>
              </w:rPr>
              <w:t>Jeder Zeitraum, in dem Endbenutzer nicht auf die in ihrem Archiv gespeicherte E-Mail-Nachrichten zugreifen können</w:t>
            </w:r>
            <w:r w:rsidR="00BC187C">
              <w:rPr>
                <w:rFonts w:ascii="Calibri" w:hAnsi="Calibri"/>
                <w:sz w:val="22"/>
                <w:lang w:val="de-DE"/>
              </w:rPr>
              <w:t>.</w:t>
            </w:r>
          </w:p>
        </w:tc>
      </w:tr>
      <w:tr w:rsidR="000D4A0B" w:rsidRPr="00BC187C" w:rsidTr="00AB4F15">
        <w:tc>
          <w:tcPr>
            <w:tcW w:w="3192" w:type="dxa"/>
            <w:vAlign w:val="center"/>
          </w:tcPr>
          <w:p w:rsidR="000D4A0B" w:rsidRPr="0092627D" w:rsidRDefault="000D4A0B" w:rsidP="00FC5E2D">
            <w:pPr>
              <w:pStyle w:val="ListParagraph"/>
              <w:suppressAutoHyphens w:val="0"/>
              <w:autoSpaceDN/>
              <w:spacing w:before="120" w:after="120"/>
              <w:ind w:left="0"/>
              <w:textAlignment w:val="auto"/>
              <w:rPr>
                <w:rFonts w:ascii="Calibri" w:hAnsi="Calibri" w:cs="Calibri"/>
                <w:sz w:val="22"/>
                <w:lang w:val="de-DE"/>
              </w:rPr>
            </w:pPr>
            <w:r w:rsidRPr="0092627D">
              <w:rPr>
                <w:rFonts w:ascii="Calibri" w:hAnsi="Calibri" w:cs="Calibri"/>
                <w:sz w:val="22"/>
                <w:szCs w:val="22"/>
                <w:lang w:val="de-DE"/>
              </w:rPr>
              <w:t>Exchange Online</w:t>
            </w:r>
          </w:p>
        </w:tc>
        <w:tc>
          <w:tcPr>
            <w:tcW w:w="5893" w:type="dxa"/>
            <w:vAlign w:val="center"/>
          </w:tcPr>
          <w:p w:rsidR="000D4A0B" w:rsidRPr="0092627D" w:rsidRDefault="000D4A0B" w:rsidP="00BC187C">
            <w:pPr>
              <w:pStyle w:val="ListParagraph"/>
              <w:suppressAutoHyphens w:val="0"/>
              <w:autoSpaceDN/>
              <w:spacing w:before="120" w:after="120"/>
              <w:ind w:left="0"/>
              <w:contextualSpacing w:val="0"/>
              <w:textAlignment w:val="auto"/>
              <w:rPr>
                <w:rFonts w:ascii="Calibri" w:hAnsi="Calibri" w:cs="Calibri"/>
                <w:sz w:val="22"/>
                <w:lang w:val="de-DE"/>
              </w:rPr>
            </w:pPr>
            <w:r w:rsidRPr="0092627D">
              <w:rPr>
                <w:rFonts w:ascii="Calibri" w:hAnsi="Calibri" w:cs="Calibri"/>
                <w:sz w:val="22"/>
                <w:szCs w:val="22"/>
                <w:lang w:val="de-DE"/>
              </w:rPr>
              <w:t>Jeder Zeitraum, in dem Endbenutzer nicht in der Lage sind, E</w:t>
            </w:r>
            <w:r w:rsidR="00BC187C">
              <w:rPr>
                <w:rFonts w:ascii="Calibri" w:hAnsi="Calibri" w:cs="Calibri"/>
                <w:sz w:val="22"/>
                <w:szCs w:val="22"/>
                <w:lang w:val="de-DE"/>
              </w:rPr>
              <w:t>­</w:t>
            </w:r>
            <w:r w:rsidRPr="0092627D">
              <w:rPr>
                <w:rFonts w:ascii="Calibri" w:hAnsi="Calibri" w:cs="Calibri"/>
                <w:sz w:val="22"/>
                <w:szCs w:val="22"/>
                <w:lang w:val="de-DE"/>
              </w:rPr>
              <w:t>Mails mit Outlook Web Access zu senden oder zu empfangen</w:t>
            </w:r>
            <w:r w:rsidR="00BC187C">
              <w:rPr>
                <w:rFonts w:ascii="Calibri" w:hAnsi="Calibri" w:cs="Calibri"/>
                <w:sz w:val="22"/>
                <w:szCs w:val="22"/>
                <w:lang w:val="de-DE"/>
              </w:rPr>
              <w:t>.</w:t>
            </w:r>
          </w:p>
        </w:tc>
      </w:tr>
      <w:tr w:rsidR="000D4A0B" w:rsidRPr="00BC187C" w:rsidTr="00AB4F15">
        <w:tc>
          <w:tcPr>
            <w:tcW w:w="3192" w:type="dxa"/>
            <w:vAlign w:val="center"/>
          </w:tcPr>
          <w:p w:rsidR="000D4A0B" w:rsidRPr="0092627D" w:rsidRDefault="000D4A0B" w:rsidP="00FC5E2D">
            <w:pPr>
              <w:pStyle w:val="ListParagraph"/>
              <w:suppressAutoHyphens w:val="0"/>
              <w:autoSpaceDN/>
              <w:spacing w:before="120" w:after="120"/>
              <w:ind w:left="0"/>
              <w:textAlignment w:val="auto"/>
              <w:rPr>
                <w:rFonts w:ascii="Calibri" w:hAnsi="Calibri" w:cs="Calibri"/>
                <w:sz w:val="22"/>
                <w:lang w:val="de-DE"/>
              </w:rPr>
            </w:pPr>
            <w:r w:rsidRPr="0092627D">
              <w:rPr>
                <w:rFonts w:ascii="Calibri" w:hAnsi="Calibri"/>
                <w:sz w:val="22"/>
                <w:lang w:val="de-DE"/>
              </w:rPr>
              <w:t>Exchange Online Protection</w:t>
            </w:r>
            <w:r w:rsidRPr="0092627D">
              <w:rPr>
                <w:rFonts w:ascii="Calibri" w:hAnsi="Calibri"/>
                <w:lang w:val="de-DE"/>
              </w:rPr>
              <w:t xml:space="preserve"> </w:t>
            </w:r>
          </w:p>
        </w:tc>
        <w:tc>
          <w:tcPr>
            <w:tcW w:w="5893" w:type="dxa"/>
            <w:vAlign w:val="center"/>
          </w:tcPr>
          <w:p w:rsidR="000D4A0B" w:rsidRPr="0092627D" w:rsidRDefault="000D4A0B" w:rsidP="00FC5E2D">
            <w:pPr>
              <w:pStyle w:val="ListParagraph"/>
              <w:suppressAutoHyphens w:val="0"/>
              <w:autoSpaceDN/>
              <w:spacing w:before="120" w:after="120"/>
              <w:ind w:left="0"/>
              <w:contextualSpacing w:val="0"/>
              <w:textAlignment w:val="auto"/>
              <w:rPr>
                <w:rFonts w:ascii="Calibri" w:hAnsi="Calibri" w:cs="Calibri"/>
                <w:sz w:val="22"/>
                <w:lang w:val="de-DE"/>
              </w:rPr>
            </w:pPr>
            <w:r w:rsidRPr="0092627D">
              <w:rPr>
                <w:rFonts w:ascii="Calibri" w:hAnsi="Calibri" w:cs="Calibri"/>
                <w:sz w:val="22"/>
                <w:szCs w:val="22"/>
                <w:lang w:val="de-DE"/>
              </w:rPr>
              <w:t>Jeder Zeitraum, in dem das Netzwerk keine E-Mails empfangen und verarbeiten kann</w:t>
            </w:r>
            <w:r w:rsidR="00BC187C">
              <w:rPr>
                <w:rFonts w:ascii="Calibri" w:hAnsi="Calibri" w:cs="Calibri"/>
                <w:sz w:val="22"/>
                <w:szCs w:val="22"/>
                <w:lang w:val="de-DE"/>
              </w:rPr>
              <w:t>.</w:t>
            </w:r>
          </w:p>
        </w:tc>
      </w:tr>
      <w:tr w:rsidR="000D4A0B" w:rsidRPr="00BC187C" w:rsidTr="00AB4F15">
        <w:trPr>
          <w:trHeight w:val="917"/>
        </w:trPr>
        <w:tc>
          <w:tcPr>
            <w:tcW w:w="3192" w:type="dxa"/>
            <w:vAlign w:val="center"/>
          </w:tcPr>
          <w:p w:rsidR="000D4A0B" w:rsidRPr="0092627D" w:rsidRDefault="000D4A0B" w:rsidP="00FC5E2D">
            <w:pPr>
              <w:pStyle w:val="ListParagraph"/>
              <w:suppressAutoHyphens w:val="0"/>
              <w:autoSpaceDN/>
              <w:spacing w:before="120" w:after="120"/>
              <w:ind w:left="0"/>
              <w:textAlignment w:val="auto"/>
              <w:rPr>
                <w:rFonts w:ascii="Calibri" w:hAnsi="Calibri" w:cs="Calibri"/>
                <w:sz w:val="22"/>
                <w:lang w:val="de-DE"/>
              </w:rPr>
            </w:pPr>
            <w:r w:rsidRPr="0092627D">
              <w:rPr>
                <w:rFonts w:ascii="Calibri" w:hAnsi="Calibri" w:cs="Calibri"/>
                <w:sz w:val="22"/>
                <w:szCs w:val="22"/>
                <w:lang w:val="de-DE"/>
              </w:rPr>
              <w:t>Lync Online</w:t>
            </w:r>
          </w:p>
        </w:tc>
        <w:tc>
          <w:tcPr>
            <w:tcW w:w="5893" w:type="dxa"/>
            <w:vAlign w:val="center"/>
          </w:tcPr>
          <w:p w:rsidR="000D4A0B" w:rsidRPr="00BC187C" w:rsidRDefault="000D4A0B"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BC187C">
              <w:rPr>
                <w:rFonts w:ascii="Calibri" w:hAnsi="Calibri"/>
                <w:sz w:val="22"/>
                <w:szCs w:val="22"/>
                <w:lang w:val="de-DE"/>
              </w:rPr>
              <w:t>Jeder Zeitraum, in dem Endbenutzer nicht den Anwesenheitsstatus sehen, Konversationen per Sofortnachricht führen oder Onlinebesprechungen</w:t>
            </w:r>
            <w:r w:rsidRPr="00BC187C">
              <w:rPr>
                <w:rFonts w:ascii="Calibri" w:hAnsi="Calibri"/>
                <w:sz w:val="22"/>
                <w:szCs w:val="22"/>
                <w:vertAlign w:val="superscript"/>
                <w:lang w:val="de-DE"/>
              </w:rPr>
              <w:t>1</w:t>
            </w:r>
            <w:r w:rsidRPr="00BC187C">
              <w:rPr>
                <w:rFonts w:ascii="Calibri" w:hAnsi="Calibri"/>
                <w:sz w:val="22"/>
                <w:szCs w:val="22"/>
                <w:lang w:val="de-DE"/>
              </w:rPr>
              <w:t xml:space="preserve"> veranlassen können</w:t>
            </w:r>
            <w:r w:rsidR="00BC187C" w:rsidRPr="00BC187C">
              <w:rPr>
                <w:rFonts w:ascii="Calibri" w:hAnsi="Calibri"/>
                <w:sz w:val="22"/>
                <w:szCs w:val="22"/>
                <w:lang w:val="de-DE"/>
              </w:rPr>
              <w:t>.</w:t>
            </w:r>
          </w:p>
        </w:tc>
      </w:tr>
      <w:tr w:rsidR="000D4A0B" w:rsidRPr="00BC187C" w:rsidTr="00AB4F15">
        <w:trPr>
          <w:trHeight w:val="917"/>
        </w:trPr>
        <w:tc>
          <w:tcPr>
            <w:tcW w:w="3192" w:type="dxa"/>
            <w:vAlign w:val="center"/>
          </w:tcPr>
          <w:p w:rsidR="000D4A0B" w:rsidRPr="0092627D" w:rsidRDefault="000D4A0B" w:rsidP="00B774C8">
            <w:pPr>
              <w:pStyle w:val="ListParagraph"/>
              <w:suppressAutoHyphens w:val="0"/>
              <w:autoSpaceDN/>
              <w:spacing w:before="120" w:after="120"/>
              <w:ind w:left="0"/>
              <w:textAlignment w:val="auto"/>
              <w:rPr>
                <w:rFonts w:ascii="Calibri" w:hAnsi="Calibri" w:cs="Calibri"/>
                <w:sz w:val="22"/>
                <w:lang w:val="de-DE"/>
              </w:rPr>
            </w:pPr>
            <w:r w:rsidRPr="0092627D">
              <w:rPr>
                <w:rFonts w:ascii="Calibri" w:hAnsi="Calibri"/>
                <w:sz w:val="22"/>
                <w:lang w:val="de-DE"/>
              </w:rPr>
              <w:t>Microsoft Rights Management</w:t>
            </w:r>
          </w:p>
        </w:tc>
        <w:tc>
          <w:tcPr>
            <w:tcW w:w="5893" w:type="dxa"/>
            <w:vAlign w:val="center"/>
          </w:tcPr>
          <w:p w:rsidR="000D4A0B" w:rsidRPr="0092627D" w:rsidRDefault="000D4A0B" w:rsidP="00B774C8">
            <w:pPr>
              <w:pStyle w:val="ListParagraph"/>
              <w:suppressAutoHyphens w:val="0"/>
              <w:autoSpaceDN/>
              <w:spacing w:before="120" w:after="120"/>
              <w:ind w:left="0"/>
              <w:contextualSpacing w:val="0"/>
              <w:textAlignment w:val="auto"/>
              <w:rPr>
                <w:rFonts w:ascii="Calibri" w:hAnsi="Calibri" w:cs="Calibri"/>
                <w:sz w:val="22"/>
                <w:lang w:val="de-DE"/>
              </w:rPr>
            </w:pPr>
            <w:r w:rsidRPr="0092627D">
              <w:rPr>
                <w:rFonts w:ascii="Calibri" w:hAnsi="Calibri"/>
                <w:sz w:val="22"/>
                <w:lang w:val="de-DE"/>
              </w:rPr>
              <w:t>Jeder Zeitraum, in dem Endbenutzer keine IRM-Dokumente und E-Mails erstellen oder nutzen können</w:t>
            </w:r>
            <w:r w:rsidR="00BC187C">
              <w:rPr>
                <w:rFonts w:ascii="Calibri" w:hAnsi="Calibri"/>
                <w:sz w:val="22"/>
                <w:lang w:val="de-DE"/>
              </w:rPr>
              <w:t>.</w:t>
            </w:r>
          </w:p>
        </w:tc>
      </w:tr>
      <w:tr w:rsidR="000D4A0B" w:rsidRPr="00BC187C" w:rsidTr="00AB4F15">
        <w:trPr>
          <w:trHeight w:val="917"/>
        </w:trPr>
        <w:tc>
          <w:tcPr>
            <w:tcW w:w="3192" w:type="dxa"/>
            <w:vAlign w:val="center"/>
          </w:tcPr>
          <w:p w:rsidR="000D4A0B" w:rsidRPr="0092627D" w:rsidRDefault="000D4A0B" w:rsidP="00B774C8">
            <w:pPr>
              <w:pStyle w:val="ListParagraph"/>
              <w:suppressAutoHyphens w:val="0"/>
              <w:autoSpaceDN/>
              <w:spacing w:before="120" w:after="120"/>
              <w:ind w:left="0"/>
              <w:textAlignment w:val="auto"/>
              <w:rPr>
                <w:rFonts w:ascii="Calibri" w:hAnsi="Calibri" w:cs="Calibri"/>
                <w:sz w:val="22"/>
                <w:lang w:val="de-DE"/>
              </w:rPr>
            </w:pPr>
            <w:r w:rsidRPr="0092627D">
              <w:rPr>
                <w:rFonts w:ascii="Calibri" w:hAnsi="Calibri"/>
                <w:sz w:val="22"/>
                <w:lang w:val="de-DE"/>
              </w:rPr>
              <w:t>Office-Webanwendungen</w:t>
            </w:r>
          </w:p>
        </w:tc>
        <w:tc>
          <w:tcPr>
            <w:tcW w:w="5893" w:type="dxa"/>
            <w:vAlign w:val="center"/>
          </w:tcPr>
          <w:p w:rsidR="000D4A0B" w:rsidRPr="0092627D" w:rsidRDefault="000D4A0B" w:rsidP="007544CC">
            <w:pPr>
              <w:pStyle w:val="ListParagraph"/>
              <w:suppressAutoHyphens w:val="0"/>
              <w:autoSpaceDN/>
              <w:spacing w:before="120" w:after="120"/>
              <w:ind w:left="0"/>
              <w:contextualSpacing w:val="0"/>
              <w:textAlignment w:val="auto"/>
              <w:rPr>
                <w:rFonts w:ascii="Calibri" w:hAnsi="Calibri" w:cs="Calibri"/>
                <w:sz w:val="22"/>
                <w:lang w:val="de-DE"/>
              </w:rPr>
            </w:pPr>
            <w:r w:rsidRPr="0092627D">
              <w:rPr>
                <w:rFonts w:ascii="Calibri" w:hAnsi="Calibri"/>
                <w:sz w:val="22"/>
                <w:lang w:val="de-DE"/>
              </w:rPr>
              <w:t>Jeder Zeitraum, in dem Nutzer die Webanwendungen nicht</w:t>
            </w:r>
            <w:r w:rsidR="007544CC">
              <w:rPr>
                <w:rFonts w:ascii="Calibri" w:hAnsi="Calibri"/>
                <w:sz w:val="22"/>
                <w:lang w:val="de-DE"/>
              </w:rPr>
              <w:t> </w:t>
            </w:r>
            <w:r w:rsidRPr="0092627D">
              <w:rPr>
                <w:rFonts w:ascii="Calibri" w:hAnsi="Calibri"/>
                <w:sz w:val="22"/>
                <w:lang w:val="de-DE"/>
              </w:rPr>
              <w:t>zum Anzeigen und Bearbeiten von Office-Dokumenten verwenden können, die auf einer SharePoint-Website gespeichert sind, für die sie die geeigneten Berechtigungen besitzen</w:t>
            </w:r>
            <w:r w:rsidR="00BC187C">
              <w:rPr>
                <w:rFonts w:ascii="Calibri" w:hAnsi="Calibri"/>
                <w:sz w:val="22"/>
                <w:lang w:val="de-DE"/>
              </w:rPr>
              <w:t>.</w:t>
            </w:r>
          </w:p>
        </w:tc>
      </w:tr>
      <w:tr w:rsidR="000D4A0B" w:rsidRPr="00BC187C" w:rsidTr="00AB4F15">
        <w:trPr>
          <w:trHeight w:val="917"/>
        </w:trPr>
        <w:tc>
          <w:tcPr>
            <w:tcW w:w="3192" w:type="dxa"/>
            <w:vAlign w:val="center"/>
          </w:tcPr>
          <w:p w:rsidR="000D4A0B" w:rsidRPr="0092627D" w:rsidRDefault="000D4A0B" w:rsidP="00B774C8">
            <w:pPr>
              <w:pStyle w:val="ListParagraph"/>
              <w:suppressAutoHyphens w:val="0"/>
              <w:autoSpaceDN/>
              <w:spacing w:before="120" w:after="120"/>
              <w:ind w:left="0"/>
              <w:textAlignment w:val="auto"/>
              <w:rPr>
                <w:rFonts w:ascii="Calibri" w:hAnsi="Calibri" w:cs="Calibri"/>
                <w:sz w:val="22"/>
                <w:lang w:val="de-DE"/>
              </w:rPr>
            </w:pPr>
            <w:r w:rsidRPr="0092627D">
              <w:rPr>
                <w:rFonts w:ascii="Calibri" w:hAnsi="Calibri"/>
                <w:sz w:val="22"/>
                <w:lang w:val="de-DE"/>
              </w:rPr>
              <w:t>Power BI für Office 365</w:t>
            </w:r>
          </w:p>
        </w:tc>
        <w:tc>
          <w:tcPr>
            <w:tcW w:w="5893" w:type="dxa"/>
            <w:vAlign w:val="center"/>
          </w:tcPr>
          <w:p w:rsidR="000D4A0B" w:rsidRPr="0092627D" w:rsidRDefault="000D4A0B" w:rsidP="00B774C8">
            <w:pPr>
              <w:pStyle w:val="ListParagraph"/>
              <w:suppressAutoHyphens w:val="0"/>
              <w:autoSpaceDN/>
              <w:spacing w:before="120" w:after="120"/>
              <w:ind w:left="0"/>
              <w:contextualSpacing w:val="0"/>
              <w:textAlignment w:val="auto"/>
              <w:rPr>
                <w:rFonts w:ascii="Calibri" w:hAnsi="Calibri" w:cs="Calibri"/>
                <w:sz w:val="22"/>
                <w:lang w:val="de-DE"/>
              </w:rPr>
            </w:pPr>
            <w:r w:rsidRPr="0092627D">
              <w:rPr>
                <w:rFonts w:ascii="Calibri" w:hAnsi="Calibri"/>
                <w:sz w:val="22"/>
                <w:lang w:val="de-DE"/>
              </w:rPr>
              <w:t>Jeder Zeitraum, in dem Nutzer einen Teil der Power BI-Daten, für die sie die geeigneten Berechtigungen besitzen, nicht lesen oder schreiben können.</w:t>
            </w:r>
          </w:p>
        </w:tc>
      </w:tr>
      <w:tr w:rsidR="000D4A0B" w:rsidRPr="00BC187C" w:rsidTr="00AB4F15">
        <w:trPr>
          <w:trHeight w:val="917"/>
        </w:trPr>
        <w:tc>
          <w:tcPr>
            <w:tcW w:w="3192" w:type="dxa"/>
            <w:vAlign w:val="center"/>
          </w:tcPr>
          <w:p w:rsidR="000D4A0B" w:rsidRPr="0092627D" w:rsidRDefault="000D4A0B" w:rsidP="00B774C8">
            <w:pPr>
              <w:pStyle w:val="ListParagraph"/>
              <w:suppressAutoHyphens w:val="0"/>
              <w:autoSpaceDN/>
              <w:spacing w:before="120" w:after="120"/>
              <w:ind w:left="0"/>
              <w:textAlignment w:val="auto"/>
              <w:rPr>
                <w:rFonts w:ascii="Calibri" w:hAnsi="Calibri" w:cs="Calibri"/>
                <w:sz w:val="22"/>
                <w:highlight w:val="yellow"/>
                <w:lang w:val="de-DE"/>
              </w:rPr>
            </w:pPr>
            <w:r w:rsidRPr="0092627D">
              <w:rPr>
                <w:rFonts w:ascii="Calibri" w:hAnsi="Calibri"/>
                <w:sz w:val="22"/>
                <w:lang w:val="de-DE"/>
              </w:rPr>
              <w:t>Project Online</w:t>
            </w:r>
          </w:p>
        </w:tc>
        <w:tc>
          <w:tcPr>
            <w:tcW w:w="5893" w:type="dxa"/>
            <w:vAlign w:val="center"/>
          </w:tcPr>
          <w:p w:rsidR="000D4A0B" w:rsidRPr="0092627D" w:rsidRDefault="000D4A0B" w:rsidP="000023AC">
            <w:pPr>
              <w:pStyle w:val="ListParagraph"/>
              <w:suppressAutoHyphens w:val="0"/>
              <w:autoSpaceDN/>
              <w:spacing w:before="120" w:after="120"/>
              <w:ind w:left="0"/>
              <w:contextualSpacing w:val="0"/>
              <w:textAlignment w:val="auto"/>
              <w:rPr>
                <w:rFonts w:ascii="Calibri" w:hAnsi="Calibri" w:cs="Calibri"/>
                <w:sz w:val="22"/>
                <w:highlight w:val="yellow"/>
                <w:lang w:val="de-DE"/>
              </w:rPr>
            </w:pPr>
            <w:r w:rsidRPr="0092627D">
              <w:rPr>
                <w:rFonts w:ascii="Calibri" w:hAnsi="Calibri"/>
                <w:sz w:val="22"/>
                <w:lang w:val="de-DE"/>
              </w:rPr>
              <w:t>Jeder Zeitraum, in dem die Nutzer keinen Lese- oder Schreibzugriff auf einen Teil einer SharePoint-Websitesammlung mit Project Web App haben, für den sie die</w:t>
            </w:r>
            <w:r w:rsidR="000023AC">
              <w:rPr>
                <w:rFonts w:ascii="Calibri" w:hAnsi="Calibri"/>
                <w:sz w:val="22"/>
                <w:lang w:val="de-DE"/>
              </w:rPr>
              <w:t> </w:t>
            </w:r>
            <w:r w:rsidRPr="0092627D">
              <w:rPr>
                <w:rFonts w:ascii="Calibri" w:hAnsi="Calibri"/>
                <w:sz w:val="22"/>
                <w:lang w:val="de-DE"/>
              </w:rPr>
              <w:t>erforderlichen Berechtigungen besitzen</w:t>
            </w:r>
            <w:r w:rsidR="00BC187C">
              <w:rPr>
                <w:rFonts w:ascii="Calibri" w:hAnsi="Calibri"/>
                <w:sz w:val="22"/>
                <w:lang w:val="de-DE"/>
              </w:rPr>
              <w:t>.</w:t>
            </w:r>
          </w:p>
        </w:tc>
      </w:tr>
      <w:tr w:rsidR="000D4A0B" w:rsidRPr="00BC187C" w:rsidTr="00AB4F15">
        <w:tc>
          <w:tcPr>
            <w:tcW w:w="3192" w:type="dxa"/>
            <w:vAlign w:val="center"/>
          </w:tcPr>
          <w:p w:rsidR="000D4A0B" w:rsidRPr="0092627D" w:rsidRDefault="000D4A0B" w:rsidP="00B774C8">
            <w:pPr>
              <w:pStyle w:val="ListParagraph"/>
              <w:suppressAutoHyphens w:val="0"/>
              <w:autoSpaceDN/>
              <w:spacing w:before="120" w:after="120"/>
              <w:ind w:left="0"/>
              <w:textAlignment w:val="auto"/>
              <w:rPr>
                <w:rFonts w:ascii="Calibri" w:hAnsi="Calibri" w:cs="Calibri"/>
                <w:sz w:val="22"/>
                <w:lang w:val="de-DE"/>
              </w:rPr>
            </w:pPr>
            <w:r w:rsidRPr="0092627D">
              <w:rPr>
                <w:rFonts w:ascii="Calibri" w:hAnsi="Calibri" w:cs="Calibri"/>
                <w:sz w:val="22"/>
                <w:szCs w:val="22"/>
                <w:lang w:val="de-DE"/>
              </w:rPr>
              <w:t>SharePoint Online</w:t>
            </w:r>
          </w:p>
        </w:tc>
        <w:tc>
          <w:tcPr>
            <w:tcW w:w="5893" w:type="dxa"/>
            <w:vAlign w:val="center"/>
          </w:tcPr>
          <w:p w:rsidR="000D4A0B" w:rsidRPr="0092627D" w:rsidRDefault="000D4A0B" w:rsidP="00B774C8">
            <w:pPr>
              <w:pStyle w:val="ListParagraph"/>
              <w:suppressAutoHyphens w:val="0"/>
              <w:autoSpaceDN/>
              <w:spacing w:before="120" w:after="120"/>
              <w:ind w:left="0"/>
              <w:contextualSpacing w:val="0"/>
              <w:textAlignment w:val="auto"/>
              <w:rPr>
                <w:rFonts w:ascii="Calibri" w:hAnsi="Calibri" w:cs="Calibri"/>
                <w:sz w:val="22"/>
                <w:lang w:val="de-DE"/>
              </w:rPr>
            </w:pPr>
            <w:r w:rsidRPr="0092627D">
              <w:rPr>
                <w:rFonts w:ascii="Calibri" w:hAnsi="Calibri" w:cs="Calibri"/>
                <w:sz w:val="22"/>
                <w:szCs w:val="22"/>
                <w:lang w:val="de-DE"/>
              </w:rPr>
              <w:t>Jeder Zeitraum, in dem die Nutzer keinen Lese- oder Schreibzugriff auf einen Teil einer SharePoint-Websitesammlung haben, für den sie die erforderlichen Berechtigungen besitzen</w:t>
            </w:r>
            <w:r w:rsidR="00BC187C">
              <w:rPr>
                <w:rFonts w:ascii="Calibri" w:hAnsi="Calibri" w:cs="Calibri"/>
                <w:sz w:val="22"/>
                <w:szCs w:val="22"/>
                <w:lang w:val="de-DE"/>
              </w:rPr>
              <w:t>.</w:t>
            </w:r>
          </w:p>
        </w:tc>
      </w:tr>
      <w:tr w:rsidR="000D4A0B" w:rsidRPr="00BC187C" w:rsidTr="00AB4F15">
        <w:tc>
          <w:tcPr>
            <w:tcW w:w="3192" w:type="dxa"/>
            <w:vAlign w:val="center"/>
          </w:tcPr>
          <w:p w:rsidR="000D4A0B" w:rsidRPr="0092627D" w:rsidRDefault="000D4A0B" w:rsidP="00B774C8">
            <w:pPr>
              <w:pStyle w:val="ListParagraph"/>
              <w:suppressAutoHyphens w:val="0"/>
              <w:autoSpaceDN/>
              <w:spacing w:before="120" w:after="120"/>
              <w:ind w:left="0"/>
              <w:textAlignment w:val="auto"/>
              <w:rPr>
                <w:rFonts w:ascii="Calibri" w:hAnsi="Calibri" w:cs="Calibri"/>
                <w:sz w:val="22"/>
                <w:lang w:val="de-DE"/>
              </w:rPr>
            </w:pPr>
            <w:r w:rsidRPr="0092627D">
              <w:rPr>
                <w:rFonts w:ascii="Calibri" w:hAnsi="Calibri"/>
                <w:sz w:val="22"/>
                <w:lang w:val="de-DE"/>
              </w:rPr>
              <w:t>Translator API</w:t>
            </w:r>
          </w:p>
        </w:tc>
        <w:tc>
          <w:tcPr>
            <w:tcW w:w="5893" w:type="dxa"/>
            <w:vAlign w:val="center"/>
          </w:tcPr>
          <w:p w:rsidR="000D4A0B" w:rsidRPr="0092627D" w:rsidRDefault="000D4A0B" w:rsidP="00B774C8">
            <w:pPr>
              <w:pStyle w:val="ListParagraph"/>
              <w:suppressAutoHyphens w:val="0"/>
              <w:autoSpaceDN/>
              <w:spacing w:before="120" w:after="120"/>
              <w:ind w:left="0"/>
              <w:contextualSpacing w:val="0"/>
              <w:textAlignment w:val="auto"/>
              <w:rPr>
                <w:rFonts w:ascii="Calibri" w:hAnsi="Calibri" w:cs="Calibri"/>
                <w:sz w:val="22"/>
                <w:lang w:val="de-DE"/>
              </w:rPr>
            </w:pPr>
            <w:r w:rsidRPr="0092627D">
              <w:rPr>
                <w:rFonts w:ascii="Calibri" w:hAnsi="Calibri"/>
                <w:sz w:val="22"/>
                <w:lang w:val="de-DE"/>
              </w:rPr>
              <w:t>Jeder Zeitraum, in dem die Benutzer keine Übersetzungen vornehmen können</w:t>
            </w:r>
            <w:r w:rsidR="00BC187C">
              <w:rPr>
                <w:rFonts w:ascii="Calibri" w:hAnsi="Calibri"/>
                <w:sz w:val="22"/>
                <w:lang w:val="de-DE"/>
              </w:rPr>
              <w:t>.</w:t>
            </w:r>
          </w:p>
        </w:tc>
      </w:tr>
      <w:tr w:rsidR="000D4A0B" w:rsidRPr="00BC187C" w:rsidTr="00AB4F15">
        <w:tc>
          <w:tcPr>
            <w:tcW w:w="3192" w:type="dxa"/>
            <w:vAlign w:val="center"/>
          </w:tcPr>
          <w:p w:rsidR="000D4A0B" w:rsidRPr="0092627D" w:rsidRDefault="000D4A0B" w:rsidP="00B774C8">
            <w:pPr>
              <w:pStyle w:val="ListParagraph"/>
              <w:suppressAutoHyphens w:val="0"/>
              <w:autoSpaceDN/>
              <w:spacing w:before="120" w:after="120"/>
              <w:ind w:left="0"/>
              <w:textAlignment w:val="auto"/>
              <w:rPr>
                <w:rFonts w:ascii="Calibri" w:hAnsi="Calibri" w:cs="Calibri"/>
                <w:sz w:val="22"/>
                <w:lang w:val="de-DE"/>
              </w:rPr>
            </w:pPr>
            <w:r w:rsidRPr="0092627D">
              <w:rPr>
                <w:rFonts w:ascii="Calibri" w:hAnsi="Calibri" w:cs="Calibri"/>
                <w:sz w:val="22"/>
                <w:szCs w:val="22"/>
                <w:lang w:val="de-DE"/>
              </w:rPr>
              <w:lastRenderedPageBreak/>
              <w:t>Windows Intune</w:t>
            </w:r>
          </w:p>
        </w:tc>
        <w:tc>
          <w:tcPr>
            <w:tcW w:w="5893" w:type="dxa"/>
            <w:vAlign w:val="center"/>
          </w:tcPr>
          <w:p w:rsidR="000D4A0B" w:rsidRPr="0092627D" w:rsidRDefault="000D4A0B" w:rsidP="00B774C8">
            <w:pPr>
              <w:pStyle w:val="ListParagraph"/>
              <w:suppressAutoHyphens w:val="0"/>
              <w:autoSpaceDN/>
              <w:spacing w:before="120" w:after="120"/>
              <w:ind w:left="0"/>
              <w:contextualSpacing w:val="0"/>
              <w:textAlignment w:val="auto"/>
              <w:rPr>
                <w:rFonts w:ascii="Calibri" w:hAnsi="Calibri" w:cs="Calibri"/>
                <w:sz w:val="22"/>
                <w:lang w:val="de-DE"/>
              </w:rPr>
            </w:pPr>
            <w:r w:rsidRPr="0092627D">
              <w:rPr>
                <w:rFonts w:ascii="Calibri" w:hAnsi="Calibri"/>
                <w:sz w:val="22"/>
                <w:lang w:val="de-DE"/>
              </w:rPr>
              <w:t>Jeder Zeitraum, in dem sich der IT-Administrator des Kunden oder vom Kunden autorisierte Nutzer nicht mit den richtigen Anmeldeinformationen anmelden können</w:t>
            </w:r>
            <w:r w:rsidR="00BC187C">
              <w:rPr>
                <w:rFonts w:ascii="Calibri" w:hAnsi="Calibri"/>
                <w:sz w:val="22"/>
                <w:lang w:val="de-DE"/>
              </w:rPr>
              <w:t>.</w:t>
            </w:r>
          </w:p>
        </w:tc>
      </w:tr>
      <w:tr w:rsidR="000D4A0B" w:rsidRPr="00BC187C" w:rsidTr="00AB4F15">
        <w:tc>
          <w:tcPr>
            <w:tcW w:w="3192" w:type="dxa"/>
            <w:vAlign w:val="center"/>
          </w:tcPr>
          <w:p w:rsidR="000D4A0B" w:rsidRPr="0092627D" w:rsidRDefault="000D4A0B" w:rsidP="00B774C8">
            <w:pPr>
              <w:pStyle w:val="ListParagraph"/>
              <w:suppressAutoHyphens w:val="0"/>
              <w:autoSpaceDN/>
              <w:spacing w:before="120" w:after="120"/>
              <w:ind w:left="0"/>
              <w:textAlignment w:val="auto"/>
              <w:rPr>
                <w:rFonts w:ascii="Calibri" w:hAnsi="Calibri" w:cs="Calibri"/>
                <w:sz w:val="22"/>
                <w:lang w:val="de-DE"/>
              </w:rPr>
            </w:pPr>
            <w:r w:rsidRPr="0092627D">
              <w:rPr>
                <w:rFonts w:ascii="Calibri" w:hAnsi="Calibri" w:cs="Calibri"/>
                <w:sz w:val="22"/>
                <w:szCs w:val="22"/>
                <w:lang w:val="de-DE"/>
              </w:rPr>
              <w:t>Yammer Enterprise</w:t>
            </w:r>
          </w:p>
        </w:tc>
        <w:tc>
          <w:tcPr>
            <w:tcW w:w="5893" w:type="dxa"/>
            <w:vAlign w:val="center"/>
          </w:tcPr>
          <w:p w:rsidR="000D4A0B" w:rsidRPr="0092627D" w:rsidRDefault="000D4A0B" w:rsidP="00AB4F15">
            <w:pPr>
              <w:pStyle w:val="ListParagraph"/>
              <w:spacing w:before="120" w:after="120"/>
              <w:ind w:left="0"/>
              <w:contextualSpacing w:val="0"/>
              <w:rPr>
                <w:rFonts w:ascii="Calibri" w:hAnsi="Calibri" w:cs="Calibri"/>
                <w:sz w:val="22"/>
                <w:lang w:val="de-DE"/>
              </w:rPr>
            </w:pPr>
            <w:r w:rsidRPr="0092627D">
              <w:rPr>
                <w:rFonts w:ascii="Calibri" w:hAnsi="Calibri"/>
                <w:sz w:val="22"/>
                <w:lang w:val="de-DE"/>
              </w:rPr>
              <w:t>Jeder Zeitraum über zehn Minuten, in dem mehr als fünf Prozent der Endbenutzer in irgendeinem Teil des Yammer-Netzwerks, für den sie die erforderlichen Berechtigungen besitzen, keine Nachrichten veröffentlichen oder lesen können</w:t>
            </w:r>
            <w:r w:rsidR="00BC187C">
              <w:rPr>
                <w:rFonts w:ascii="Calibri" w:hAnsi="Calibri"/>
                <w:sz w:val="22"/>
                <w:lang w:val="de-DE"/>
              </w:rPr>
              <w:t>.</w:t>
            </w:r>
          </w:p>
        </w:tc>
      </w:tr>
    </w:tbl>
    <w:p w:rsidR="000D4A0B" w:rsidRPr="0092627D" w:rsidRDefault="000D4A0B" w:rsidP="00BC6AA1">
      <w:pPr>
        <w:pStyle w:val="ListParagraph"/>
        <w:suppressAutoHyphens w:val="0"/>
        <w:autoSpaceDN/>
        <w:spacing w:after="200"/>
        <w:ind w:left="360"/>
        <w:jc w:val="both"/>
        <w:textAlignment w:val="auto"/>
        <w:rPr>
          <w:rFonts w:ascii="Calibri" w:hAnsi="Calibri"/>
          <w:lang w:val="de-DE"/>
        </w:rPr>
      </w:pPr>
      <w:r w:rsidRPr="0092627D">
        <w:rPr>
          <w:rFonts w:ascii="Calibri" w:hAnsi="Calibri"/>
          <w:sz w:val="22"/>
          <w:vertAlign w:val="superscript"/>
          <w:lang w:val="de-DE"/>
        </w:rPr>
        <w:t>1</w:t>
      </w:r>
      <w:r w:rsidRPr="0092627D">
        <w:rPr>
          <w:rFonts w:ascii="Calibri" w:hAnsi="Calibri"/>
          <w:sz w:val="22"/>
          <w:lang w:val="de-DE"/>
        </w:rPr>
        <w:t xml:space="preserve"> </w:t>
      </w:r>
      <w:r w:rsidRPr="0092627D">
        <w:rPr>
          <w:rFonts w:ascii="Calibri" w:hAnsi="Calibri"/>
          <w:sz w:val="18"/>
          <w:lang w:val="de-DE"/>
        </w:rPr>
        <w:t>Die Funktion für Onlinebesprechungen gilt nur für Lync Plan 2 Service.</w:t>
      </w:r>
    </w:p>
    <w:p w:rsidR="000D4A0B" w:rsidRPr="00BC187C" w:rsidRDefault="000D4A0B" w:rsidP="00D85BEB">
      <w:pPr>
        <w:pStyle w:val="ListParagraph"/>
        <w:suppressAutoHyphens w:val="0"/>
        <w:autoSpaceDN/>
        <w:spacing w:after="200"/>
        <w:ind w:left="360"/>
        <w:jc w:val="both"/>
        <w:textAlignment w:val="auto"/>
        <w:rPr>
          <w:rFonts w:ascii="Calibri" w:hAnsi="Calibri" w:cs="Calibri"/>
          <w:sz w:val="12"/>
          <w:szCs w:val="12"/>
          <w:lang w:val="de-DE"/>
        </w:rPr>
      </w:pPr>
    </w:p>
    <w:p w:rsidR="000D4A0B" w:rsidRPr="00BC187C" w:rsidRDefault="000D4A0B" w:rsidP="00D85BEB">
      <w:pPr>
        <w:pStyle w:val="ListParagraph"/>
        <w:suppressAutoHyphens w:val="0"/>
        <w:autoSpaceDN/>
        <w:spacing w:after="200"/>
        <w:ind w:left="360"/>
        <w:jc w:val="both"/>
        <w:textAlignment w:val="auto"/>
        <w:rPr>
          <w:rFonts w:ascii="Calibri" w:hAnsi="Calibri" w:cs="Calibri"/>
          <w:sz w:val="12"/>
          <w:szCs w:val="12"/>
          <w:lang w:val="de-DE"/>
        </w:rPr>
      </w:pPr>
    </w:p>
    <w:p w:rsidR="000D4A0B" w:rsidRPr="0092627D" w:rsidRDefault="000D4A0B" w:rsidP="000F4C4D">
      <w:pPr>
        <w:pStyle w:val="ListParagraph"/>
        <w:suppressAutoHyphens w:val="0"/>
        <w:autoSpaceDN/>
        <w:spacing w:after="200"/>
        <w:ind w:left="360"/>
        <w:jc w:val="both"/>
        <w:textAlignment w:val="auto"/>
        <w:rPr>
          <w:rFonts w:ascii="Calibri" w:hAnsi="Calibri"/>
          <w:lang w:val="de-DE"/>
        </w:rPr>
      </w:pPr>
      <w:r w:rsidRPr="0092627D">
        <w:rPr>
          <w:rFonts w:ascii="Calibri" w:hAnsi="Calibri"/>
          <w:sz w:val="22"/>
          <w:lang w:val="de-DE"/>
        </w:rPr>
        <w:t>„</w:t>
      </w:r>
      <w:r w:rsidRPr="0092627D">
        <w:rPr>
          <w:rFonts w:ascii="Calibri" w:hAnsi="Calibri"/>
          <w:sz w:val="22"/>
          <w:u w:val="single"/>
          <w:lang w:val="de-DE"/>
        </w:rPr>
        <w:t>Vorfall</w:t>
      </w:r>
      <w:r w:rsidRPr="0092627D">
        <w:rPr>
          <w:rFonts w:ascii="Calibri" w:hAnsi="Calibri"/>
          <w:sz w:val="22"/>
          <w:lang w:val="de-DE"/>
        </w:rPr>
        <w:t>“ ist (i) jedes einzelne Ereignis oder (ii) jede Gruppe von Ereignissen, die zu Ausfallzeiten führt.</w:t>
      </w:r>
    </w:p>
    <w:p w:rsidR="000D4A0B" w:rsidRPr="00BC187C" w:rsidRDefault="000D4A0B" w:rsidP="000F4C4D">
      <w:pPr>
        <w:pStyle w:val="ListParagraph"/>
        <w:suppressAutoHyphens w:val="0"/>
        <w:autoSpaceDN/>
        <w:spacing w:after="200"/>
        <w:ind w:left="360"/>
        <w:jc w:val="both"/>
        <w:textAlignment w:val="auto"/>
        <w:rPr>
          <w:rFonts w:ascii="Calibri" w:hAnsi="Calibri" w:cs="Calibri"/>
          <w:sz w:val="12"/>
          <w:szCs w:val="12"/>
          <w:lang w:val="de-DE"/>
        </w:rPr>
      </w:pPr>
    </w:p>
    <w:p w:rsidR="000D4A0B" w:rsidRPr="0092627D" w:rsidRDefault="000D4A0B" w:rsidP="000F4C4D">
      <w:pPr>
        <w:pStyle w:val="ListParagraph"/>
        <w:suppressAutoHyphens w:val="0"/>
        <w:autoSpaceDN/>
        <w:spacing w:after="200"/>
        <w:ind w:left="360"/>
        <w:jc w:val="both"/>
        <w:textAlignment w:val="auto"/>
        <w:rPr>
          <w:rFonts w:ascii="Calibri" w:hAnsi="Calibri"/>
          <w:lang w:val="de-DE"/>
        </w:rPr>
      </w:pPr>
      <w:r w:rsidRPr="0092627D">
        <w:rPr>
          <w:rFonts w:ascii="Calibri" w:hAnsi="Calibri"/>
          <w:sz w:val="22"/>
          <w:lang w:val="de-DE"/>
        </w:rPr>
        <w:t>„</w:t>
      </w:r>
      <w:r w:rsidRPr="0092627D">
        <w:rPr>
          <w:rFonts w:ascii="Calibri" w:hAnsi="Calibri"/>
          <w:sz w:val="22"/>
          <w:u w:val="single"/>
          <w:lang w:val="de-DE"/>
        </w:rPr>
        <w:t>Microsoft</w:t>
      </w:r>
      <w:r w:rsidRPr="0092627D">
        <w:rPr>
          <w:rFonts w:ascii="Calibri" w:hAnsi="Calibri"/>
          <w:sz w:val="22"/>
          <w:lang w:val="de-DE"/>
        </w:rPr>
        <w:t>“ ist die Microsoft-Gesellschaft, die den Vertrag geschlossen hat.</w:t>
      </w:r>
    </w:p>
    <w:p w:rsidR="000D4A0B" w:rsidRPr="00BC187C" w:rsidRDefault="000D4A0B" w:rsidP="000F4C4D">
      <w:pPr>
        <w:pStyle w:val="ListParagraph"/>
        <w:suppressAutoHyphens w:val="0"/>
        <w:autoSpaceDN/>
        <w:spacing w:after="200"/>
        <w:ind w:left="360"/>
        <w:jc w:val="both"/>
        <w:textAlignment w:val="auto"/>
        <w:rPr>
          <w:rFonts w:ascii="Calibri" w:hAnsi="Calibri" w:cs="Calibri"/>
          <w:sz w:val="12"/>
          <w:szCs w:val="12"/>
          <w:lang w:val="de-DE"/>
        </w:rPr>
      </w:pPr>
    </w:p>
    <w:p w:rsidR="000D4A0B" w:rsidRPr="0092627D" w:rsidRDefault="000D4A0B" w:rsidP="000F4C4D">
      <w:pPr>
        <w:pStyle w:val="ListParagraph"/>
        <w:suppressAutoHyphens w:val="0"/>
        <w:autoSpaceDN/>
        <w:spacing w:after="200"/>
        <w:ind w:left="360"/>
        <w:jc w:val="both"/>
        <w:textAlignment w:val="auto"/>
        <w:rPr>
          <w:rFonts w:ascii="Calibri" w:hAnsi="Calibri"/>
          <w:lang w:val="de-DE"/>
        </w:rPr>
      </w:pPr>
      <w:r w:rsidRPr="0092627D">
        <w:rPr>
          <w:rFonts w:ascii="Calibri" w:hAnsi="Calibri"/>
          <w:sz w:val="22"/>
          <w:lang w:val="de-DE"/>
        </w:rPr>
        <w:t>„</w:t>
      </w:r>
      <w:r w:rsidRPr="0092627D">
        <w:rPr>
          <w:rFonts w:ascii="Calibri" w:hAnsi="Calibri"/>
          <w:sz w:val="22"/>
          <w:u w:val="single"/>
          <w:lang w:val="de-DE"/>
        </w:rPr>
        <w:t>Geplante Ausfallzeit</w:t>
      </w:r>
      <w:r w:rsidRPr="0092627D">
        <w:rPr>
          <w:rFonts w:ascii="Calibri" w:hAnsi="Calibri"/>
          <w:sz w:val="22"/>
          <w:lang w:val="de-DE"/>
        </w:rPr>
        <w:t>“ bezeichnet Ausfallzeiten im Zusammenhang mit Netzwerk-, Hardware- oder Dienstwartungen oder -upgrades.</w:t>
      </w:r>
      <w:r w:rsidRPr="0092627D">
        <w:rPr>
          <w:rFonts w:ascii="Calibri" w:hAnsi="Calibri"/>
          <w:lang w:val="de-DE"/>
        </w:rPr>
        <w:t xml:space="preserve"> </w:t>
      </w:r>
      <w:r w:rsidRPr="0092627D">
        <w:rPr>
          <w:rFonts w:ascii="Calibri" w:hAnsi="Calibri"/>
          <w:sz w:val="22"/>
          <w:lang w:val="de-DE"/>
        </w:rPr>
        <w:t>Wir werden diese Zeiten mindestens fünf (5) Tage vor Beginn als Ausfallzeiten veröffentlichen oder Ihnen ankündigen.</w:t>
      </w:r>
    </w:p>
    <w:p w:rsidR="000D4A0B" w:rsidRPr="00BC187C" w:rsidRDefault="000D4A0B" w:rsidP="000F4C4D">
      <w:pPr>
        <w:pStyle w:val="ListParagraph"/>
        <w:suppressAutoHyphens w:val="0"/>
        <w:autoSpaceDN/>
        <w:spacing w:after="200"/>
        <w:ind w:left="360"/>
        <w:jc w:val="both"/>
        <w:textAlignment w:val="auto"/>
        <w:rPr>
          <w:rFonts w:ascii="Calibri" w:hAnsi="Calibri" w:cs="Calibri"/>
          <w:sz w:val="12"/>
          <w:szCs w:val="12"/>
          <w:lang w:val="de-DE"/>
        </w:rPr>
      </w:pPr>
    </w:p>
    <w:p w:rsidR="000D4A0B" w:rsidRPr="0092627D" w:rsidRDefault="000D4A0B" w:rsidP="000F4C4D">
      <w:pPr>
        <w:pStyle w:val="ListParagraph"/>
        <w:suppressAutoHyphens w:val="0"/>
        <w:autoSpaceDN/>
        <w:spacing w:after="200"/>
        <w:ind w:left="360"/>
        <w:jc w:val="both"/>
        <w:textAlignment w:val="auto"/>
        <w:rPr>
          <w:rFonts w:ascii="Calibri" w:hAnsi="Calibri"/>
          <w:lang w:val="de-DE"/>
        </w:rPr>
      </w:pPr>
      <w:r w:rsidRPr="0092627D">
        <w:rPr>
          <w:rFonts w:ascii="Calibri" w:hAnsi="Calibri"/>
          <w:sz w:val="22"/>
          <w:lang w:val="de-DE"/>
        </w:rPr>
        <w:t>„</w:t>
      </w:r>
      <w:r w:rsidRPr="0092627D">
        <w:rPr>
          <w:rFonts w:ascii="Calibri" w:hAnsi="Calibri"/>
          <w:sz w:val="22"/>
          <w:u w:val="single"/>
          <w:lang w:val="de-DE"/>
        </w:rPr>
        <w:t>Dienst</w:t>
      </w:r>
      <w:r w:rsidRPr="0092627D">
        <w:rPr>
          <w:rFonts w:ascii="Calibri" w:hAnsi="Calibri"/>
          <w:sz w:val="22"/>
          <w:lang w:val="de-DE"/>
        </w:rPr>
        <w:t>“ oder „</w:t>
      </w:r>
      <w:r w:rsidRPr="0092627D">
        <w:rPr>
          <w:rFonts w:ascii="Calibri" w:hAnsi="Calibri"/>
          <w:sz w:val="22"/>
          <w:u w:val="single"/>
          <w:lang w:val="de-DE"/>
        </w:rPr>
        <w:t>Dienste</w:t>
      </w:r>
      <w:r w:rsidRPr="0092627D">
        <w:rPr>
          <w:rFonts w:ascii="Calibri" w:hAnsi="Calibri"/>
          <w:sz w:val="22"/>
          <w:lang w:val="de-DE"/>
        </w:rPr>
        <w:t>“ bezeichnet den/die Onlinedienst(e), der/die am Anfang dieser SLA angegeben sind und die von Ihnen gemäß dem Vertrag erworben werden</w:t>
      </w:r>
      <w:r w:rsidRPr="0092627D">
        <w:rPr>
          <w:rFonts w:ascii="Calibri" w:hAnsi="Calibri"/>
          <w:b/>
          <w:sz w:val="22"/>
          <w:lang w:val="de-DE"/>
        </w:rPr>
        <w:t>.</w:t>
      </w:r>
    </w:p>
    <w:p w:rsidR="000D4A0B" w:rsidRPr="00BC187C" w:rsidRDefault="000D4A0B" w:rsidP="000F4C4D">
      <w:pPr>
        <w:pStyle w:val="ListParagraph"/>
        <w:suppressAutoHyphens w:val="0"/>
        <w:autoSpaceDN/>
        <w:spacing w:after="200"/>
        <w:ind w:left="360"/>
        <w:jc w:val="both"/>
        <w:textAlignment w:val="auto"/>
        <w:rPr>
          <w:rFonts w:ascii="Calibri" w:hAnsi="Calibri" w:cs="Calibri"/>
          <w:sz w:val="12"/>
          <w:szCs w:val="12"/>
          <w:lang w:val="de-DE"/>
        </w:rPr>
      </w:pPr>
    </w:p>
    <w:p w:rsidR="000D4A0B" w:rsidRPr="0092627D" w:rsidRDefault="000D4A0B" w:rsidP="000F4C4D">
      <w:pPr>
        <w:pStyle w:val="ListParagraph"/>
        <w:suppressAutoHyphens w:val="0"/>
        <w:autoSpaceDN/>
        <w:spacing w:after="200"/>
        <w:ind w:left="360"/>
        <w:jc w:val="both"/>
        <w:textAlignment w:val="auto"/>
        <w:rPr>
          <w:rFonts w:ascii="Calibri" w:hAnsi="Calibri"/>
          <w:lang w:val="de-DE"/>
        </w:rPr>
      </w:pPr>
      <w:r w:rsidRPr="0092627D">
        <w:rPr>
          <w:rFonts w:ascii="Calibri" w:hAnsi="Calibri"/>
          <w:sz w:val="22"/>
          <w:lang w:val="de-DE"/>
        </w:rPr>
        <w:t>„</w:t>
      </w:r>
      <w:r w:rsidRPr="0092627D">
        <w:rPr>
          <w:rFonts w:ascii="Calibri" w:hAnsi="Calibri"/>
          <w:sz w:val="22"/>
          <w:u w:val="single"/>
          <w:lang w:val="de-DE"/>
        </w:rPr>
        <w:t>Dienstgutschrift</w:t>
      </w:r>
      <w:r w:rsidRPr="0092627D">
        <w:rPr>
          <w:rFonts w:ascii="Calibri" w:hAnsi="Calibri"/>
          <w:sz w:val="22"/>
          <w:lang w:val="de-DE"/>
        </w:rPr>
        <w:t>“ ist der Prozentsatz der Anwendbaren Monatlichen Dienstgebühren, der Ihnen nach Genehmigung des Anspruchs durch Microsoft gutgeschrieben wird.</w:t>
      </w:r>
      <w:r w:rsidRPr="0092627D">
        <w:rPr>
          <w:rFonts w:ascii="Calibri" w:hAnsi="Calibri"/>
          <w:lang w:val="de-DE"/>
        </w:rPr>
        <w:t xml:space="preserve"> </w:t>
      </w:r>
    </w:p>
    <w:p w:rsidR="000D4A0B" w:rsidRPr="00BC187C" w:rsidRDefault="000D4A0B" w:rsidP="000F4C4D">
      <w:pPr>
        <w:pStyle w:val="ListParagraph"/>
        <w:suppressAutoHyphens w:val="0"/>
        <w:autoSpaceDN/>
        <w:spacing w:after="200"/>
        <w:ind w:left="360"/>
        <w:jc w:val="both"/>
        <w:textAlignment w:val="auto"/>
        <w:rPr>
          <w:rFonts w:ascii="Calibri" w:hAnsi="Calibri" w:cs="Calibri"/>
          <w:sz w:val="12"/>
          <w:szCs w:val="12"/>
          <w:lang w:val="de-DE"/>
        </w:rPr>
      </w:pPr>
    </w:p>
    <w:p w:rsidR="000D4A0B" w:rsidRPr="0092627D" w:rsidRDefault="000D4A0B" w:rsidP="000F4C4D">
      <w:pPr>
        <w:pStyle w:val="ListParagraph"/>
        <w:suppressAutoHyphens w:val="0"/>
        <w:autoSpaceDN/>
        <w:spacing w:after="200"/>
        <w:ind w:left="360"/>
        <w:jc w:val="both"/>
        <w:textAlignment w:val="auto"/>
        <w:rPr>
          <w:rFonts w:ascii="Calibri" w:hAnsi="Calibri"/>
          <w:lang w:val="de-DE"/>
        </w:rPr>
      </w:pPr>
      <w:r w:rsidRPr="0092627D">
        <w:rPr>
          <w:rFonts w:ascii="Calibri" w:hAnsi="Calibri"/>
          <w:sz w:val="22"/>
          <w:lang w:val="de-DE"/>
        </w:rPr>
        <w:t>„</w:t>
      </w:r>
      <w:r w:rsidRPr="0092627D">
        <w:rPr>
          <w:rFonts w:ascii="Calibri" w:hAnsi="Calibri"/>
          <w:sz w:val="22"/>
          <w:u w:val="single"/>
          <w:lang w:val="de-DE"/>
        </w:rPr>
        <w:t>Servicelevel</w:t>
      </w:r>
      <w:r w:rsidRPr="0092627D">
        <w:rPr>
          <w:rFonts w:ascii="Calibri" w:hAnsi="Calibri"/>
          <w:sz w:val="22"/>
          <w:lang w:val="de-DE"/>
        </w:rPr>
        <w:t>“ bezeichnet den/die Leistungsindikator(en) gemäß dieser SLA, zu dessen/deren Einhaltung sich Microsoft bei der Bereitstellung der Dienste verpflichtet, z. B. monatliche Verfügbarkeit.</w:t>
      </w:r>
    </w:p>
    <w:p w:rsidR="000D4A0B" w:rsidRPr="00BC187C" w:rsidRDefault="000D4A0B" w:rsidP="000F4C4D">
      <w:pPr>
        <w:pStyle w:val="ListParagraph"/>
        <w:suppressAutoHyphens w:val="0"/>
        <w:autoSpaceDN/>
        <w:spacing w:after="200"/>
        <w:ind w:left="360"/>
        <w:jc w:val="both"/>
        <w:textAlignment w:val="auto"/>
        <w:rPr>
          <w:rFonts w:ascii="Calibri" w:hAnsi="Calibri" w:cs="Calibri"/>
          <w:sz w:val="12"/>
          <w:szCs w:val="12"/>
          <w:lang w:val="de-DE"/>
        </w:rPr>
      </w:pPr>
    </w:p>
    <w:p w:rsidR="000D4A0B" w:rsidRPr="0092627D" w:rsidRDefault="000D4A0B" w:rsidP="000F4C4D">
      <w:pPr>
        <w:pStyle w:val="ListParagraph"/>
        <w:suppressAutoHyphens w:val="0"/>
        <w:autoSpaceDN/>
        <w:spacing w:after="200"/>
        <w:ind w:left="360"/>
        <w:jc w:val="both"/>
        <w:textAlignment w:val="auto"/>
        <w:rPr>
          <w:rFonts w:ascii="Calibri" w:hAnsi="Calibri"/>
          <w:lang w:val="de-DE"/>
        </w:rPr>
      </w:pPr>
      <w:r w:rsidRPr="0092627D">
        <w:rPr>
          <w:rFonts w:ascii="Calibri" w:hAnsi="Calibri"/>
          <w:sz w:val="22"/>
          <w:lang w:val="de-DE"/>
        </w:rPr>
        <w:t>„</w:t>
      </w:r>
      <w:r w:rsidRPr="0092627D">
        <w:rPr>
          <w:rFonts w:ascii="Calibri" w:hAnsi="Calibri"/>
          <w:sz w:val="22"/>
          <w:u w:val="single"/>
          <w:lang w:val="de-DE"/>
        </w:rPr>
        <w:t>Nutzerminuten</w:t>
      </w:r>
      <w:r w:rsidRPr="0092627D">
        <w:rPr>
          <w:rFonts w:ascii="Calibri" w:hAnsi="Calibri"/>
          <w:sz w:val="22"/>
          <w:lang w:val="de-DE"/>
        </w:rPr>
        <w:t>“ ist die Gesamtzahl der Minuten in einem Monat, abzüglich aller Geplanten Ausfallzeiten, multipliziert mit der Gesamtzahl der Nutzer.</w:t>
      </w:r>
    </w:p>
    <w:p w:rsidR="000D4A0B" w:rsidRPr="00BC187C" w:rsidRDefault="000D4A0B" w:rsidP="00D85BEB">
      <w:pPr>
        <w:pStyle w:val="ListParagraph"/>
        <w:suppressAutoHyphens w:val="0"/>
        <w:autoSpaceDN/>
        <w:spacing w:after="200"/>
        <w:ind w:left="360"/>
        <w:jc w:val="both"/>
        <w:textAlignment w:val="auto"/>
        <w:rPr>
          <w:rFonts w:ascii="Calibri" w:hAnsi="Calibri" w:cs="Calibri"/>
          <w:sz w:val="12"/>
          <w:szCs w:val="12"/>
          <w:lang w:val="de-DE"/>
        </w:rPr>
      </w:pPr>
    </w:p>
    <w:p w:rsidR="000D4A0B" w:rsidRPr="00BC187C" w:rsidRDefault="000D4A0B" w:rsidP="00B87F53">
      <w:pPr>
        <w:pStyle w:val="ListParagraph"/>
        <w:suppressAutoHyphens w:val="0"/>
        <w:autoSpaceDN/>
        <w:spacing w:after="200"/>
        <w:ind w:left="360"/>
        <w:jc w:val="both"/>
        <w:textAlignment w:val="auto"/>
        <w:rPr>
          <w:rFonts w:ascii="Calibri" w:hAnsi="Calibri" w:cs="Calibri"/>
          <w:sz w:val="12"/>
          <w:szCs w:val="12"/>
          <w:lang w:val="de-DE"/>
        </w:rPr>
      </w:pPr>
    </w:p>
    <w:p w:rsidR="000D4A0B" w:rsidRPr="0092627D" w:rsidRDefault="000D4A0B" w:rsidP="00B101EE">
      <w:pPr>
        <w:pStyle w:val="ListParagraph"/>
        <w:numPr>
          <w:ilvl w:val="0"/>
          <w:numId w:val="7"/>
        </w:numPr>
        <w:tabs>
          <w:tab w:val="left" w:pos="360"/>
        </w:tabs>
        <w:jc w:val="both"/>
        <w:rPr>
          <w:rFonts w:ascii="Calibri" w:hAnsi="Calibri"/>
          <w:lang w:val="de-DE"/>
        </w:rPr>
      </w:pPr>
      <w:r w:rsidRPr="0092627D">
        <w:rPr>
          <w:rFonts w:ascii="Calibri" w:hAnsi="Calibri"/>
          <w:b/>
          <w:sz w:val="22"/>
          <w:u w:val="single"/>
          <w:lang w:val="de-DE"/>
        </w:rPr>
        <w:t>Servicelevel-Verpflichtung</w:t>
      </w:r>
      <w:r w:rsidRPr="0092627D">
        <w:rPr>
          <w:rFonts w:ascii="Calibri" w:hAnsi="Calibri"/>
          <w:b/>
          <w:sz w:val="22"/>
          <w:lang w:val="de-DE"/>
        </w:rPr>
        <w:t>.</w:t>
      </w:r>
      <w:r w:rsidR="004C636B">
        <w:rPr>
          <w:rFonts w:ascii="Calibri" w:hAnsi="Calibri"/>
          <w:lang w:val="de-DE"/>
        </w:rPr>
        <w:t xml:space="preserve"> </w:t>
      </w:r>
    </w:p>
    <w:p w:rsidR="000D4A0B" w:rsidRPr="0092627D" w:rsidRDefault="000D4A0B" w:rsidP="005D01F7">
      <w:pPr>
        <w:pStyle w:val="ListParagraph"/>
        <w:numPr>
          <w:ilvl w:val="1"/>
          <w:numId w:val="7"/>
        </w:numPr>
        <w:tabs>
          <w:tab w:val="left" w:pos="360"/>
        </w:tabs>
        <w:jc w:val="both"/>
        <w:rPr>
          <w:rFonts w:ascii="Calibri" w:hAnsi="Calibri"/>
          <w:lang w:val="de-DE"/>
        </w:rPr>
      </w:pPr>
      <w:r w:rsidRPr="0092627D">
        <w:rPr>
          <w:rFonts w:ascii="Calibri" w:hAnsi="Calibri"/>
          <w:sz w:val="22"/>
          <w:lang w:val="de-DE"/>
        </w:rPr>
        <w:t>Der „Prozentsatz der monatlichen Betriebszeit“ für einen Dienst wird mithilfe der folgenden Formel berechnet:</w:t>
      </w:r>
    </w:p>
    <w:p w:rsidR="000D4A0B" w:rsidRPr="0092627D" w:rsidRDefault="005D01F7" w:rsidP="00AB4F15">
      <w:pPr>
        <w:tabs>
          <w:tab w:val="left" w:pos="6120"/>
        </w:tabs>
        <w:ind w:right="1350"/>
        <w:rPr>
          <w:rFonts w:ascii="Calibri" w:hAnsi="Calibri"/>
          <w:lang w:val="de-DE"/>
        </w:rPr>
      </w:pPr>
      <w:r>
        <w:rPr>
          <w:noProof/>
        </w:rPr>
        <mc:AlternateContent>
          <mc:Choice Requires="wps">
            <w:drawing>
              <wp:anchor distT="0" distB="0" distL="114300" distR="114300" simplePos="0" relativeHeight="251658240" behindDoc="0" locked="0" layoutInCell="1" allowOverlap="1" wp14:anchorId="763F3269" wp14:editId="717DDB41">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0D4A0B" w:rsidRPr="00457DF0" w:rsidRDefault="000D4A0B"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3F3269" id="Rectangle 1" o:spid="_x0000_s1026" style="position:absolute;margin-left:352.5pt;margin-top:23pt;width:87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rsidR="000D4A0B" w:rsidRPr="00457DF0" w:rsidRDefault="000D4A0B" w:rsidP="002F1EF4">
                      <w:pPr>
                        <w:rPr>
                          <w:rFonts w:ascii="Calibri" w:hAnsi="Calibri"/>
                          <w:color w:val="000000"/>
                          <w:sz w:val="22"/>
                        </w:rPr>
                      </w:pPr>
                    </w:p>
                  </w:txbxContent>
                </v:textbox>
              </v:rect>
            </w:pict>
          </mc:Fallback>
        </mc:AlternateContent>
      </w:r>
    </w:p>
    <w:p w:rsidR="000D4A0B" w:rsidRPr="005D01F7" w:rsidRDefault="00F95D64" w:rsidP="002F1EF4">
      <w:pPr>
        <w:tabs>
          <w:tab w:val="left" w:pos="360"/>
        </w:tabs>
        <w:ind w:left="720"/>
        <w:jc w:val="center"/>
        <w:rPr>
          <w:rFonts w:ascii="Calibri" w:hAnsi="Calibri"/>
          <w:lang w:val="de-DE"/>
        </w:rPr>
      </w:pPr>
      <m:oMathPara>
        <m:oMath>
          <m:f>
            <m:fPr>
              <m:ctrlPr>
                <w:rPr>
                  <w:rFonts w:ascii="Cambria Math" w:hAnsi="Cambria Math" w:cs="Calibri"/>
                  <w:i/>
                  <w:sz w:val="28"/>
                  <w:szCs w:val="28"/>
                </w:rPr>
              </m:ctrlPr>
            </m:fPr>
            <m:num>
              <m:r>
                <w:rPr>
                  <w:rFonts w:ascii="Cambria Math" w:hAnsi="Cambria Math" w:cs="Calibri"/>
                  <w:sz w:val="28"/>
                  <w:szCs w:val="28"/>
                </w:rPr>
                <m:t xml:space="preserve">Nutzerminuten – Ausfallzeiten </m:t>
              </m:r>
            </m:num>
            <m:den>
              <m:r>
                <w:rPr>
                  <w:rFonts w:ascii="Cambria Math" w:hAnsi="Cambria Math" w:cs="Calibri"/>
                  <w:sz w:val="28"/>
                  <w:szCs w:val="28"/>
                </w:rPr>
                <m:t>Nutzerminuten</m:t>
              </m:r>
            </m:den>
          </m:f>
          <m:r>
            <w:rPr>
              <w:rFonts w:ascii="Cambria Math" w:hAnsi="Cambria Math" w:cs="Calibri"/>
              <w:sz w:val="28"/>
              <w:szCs w:val="28"/>
            </w:rPr>
            <m:t xml:space="preserve"> x  100</m:t>
          </m:r>
        </m:oMath>
      </m:oMathPara>
    </w:p>
    <w:p w:rsidR="000D4A0B" w:rsidRPr="00513D72" w:rsidRDefault="000D4A0B" w:rsidP="00777FA3">
      <w:pPr>
        <w:tabs>
          <w:tab w:val="left" w:pos="360"/>
        </w:tabs>
        <w:ind w:left="720"/>
        <w:jc w:val="both"/>
        <w:rPr>
          <w:rFonts w:ascii="Calibri" w:hAnsi="Calibri" w:cs="Calibri"/>
          <w:sz w:val="12"/>
          <w:szCs w:val="12"/>
        </w:rPr>
      </w:pPr>
    </w:p>
    <w:p w:rsidR="000D4A0B" w:rsidRPr="0092627D" w:rsidRDefault="000D4A0B" w:rsidP="00777FA3">
      <w:pPr>
        <w:tabs>
          <w:tab w:val="left" w:pos="360"/>
        </w:tabs>
        <w:ind w:left="720"/>
        <w:jc w:val="both"/>
        <w:rPr>
          <w:rFonts w:ascii="Calibri" w:hAnsi="Calibri"/>
          <w:lang w:val="de-DE"/>
        </w:rPr>
      </w:pPr>
      <w:r w:rsidRPr="0092627D">
        <w:rPr>
          <w:rFonts w:ascii="Calibri" w:hAnsi="Calibri"/>
          <w:sz w:val="22"/>
          <w:lang w:val="de-DE"/>
        </w:rPr>
        <w:t>Wobei die Ausfallzeiten in Nutzerminuten gemessen werden, d. h. die Ausfallzeiten sind für jeden Monat die Summe der Länge (in Minuten) bei jedem Vorfall, der in diesem Monat auftritt, multipliziert mit der Anzahl der von diesem Vorfall betroffenen Nutzer.</w:t>
      </w:r>
    </w:p>
    <w:p w:rsidR="000D4A0B" w:rsidRPr="00BC187C" w:rsidRDefault="000D4A0B" w:rsidP="00AB4F15">
      <w:pPr>
        <w:pStyle w:val="ListParagraph"/>
        <w:suppressAutoHyphens w:val="0"/>
        <w:autoSpaceDN/>
        <w:spacing w:after="200"/>
        <w:ind w:left="360"/>
        <w:jc w:val="both"/>
        <w:textAlignment w:val="auto"/>
        <w:rPr>
          <w:rFonts w:ascii="Calibri" w:hAnsi="Calibri" w:cs="Calibri"/>
          <w:sz w:val="12"/>
          <w:szCs w:val="12"/>
          <w:lang w:val="de-DE"/>
        </w:rPr>
      </w:pPr>
    </w:p>
    <w:p w:rsidR="000D4A0B" w:rsidRPr="00BC187C" w:rsidRDefault="000D4A0B" w:rsidP="00AB4F15">
      <w:pPr>
        <w:pStyle w:val="ListParagraph"/>
        <w:suppressAutoHyphens w:val="0"/>
        <w:autoSpaceDN/>
        <w:spacing w:after="200"/>
        <w:ind w:left="360"/>
        <w:jc w:val="both"/>
        <w:textAlignment w:val="auto"/>
        <w:rPr>
          <w:rFonts w:ascii="Calibri" w:hAnsi="Calibri" w:cs="Calibri"/>
          <w:sz w:val="12"/>
          <w:szCs w:val="12"/>
          <w:lang w:val="de-DE"/>
        </w:rPr>
      </w:pPr>
    </w:p>
    <w:p w:rsidR="000D4A0B" w:rsidRPr="0092627D" w:rsidRDefault="000D4A0B" w:rsidP="00777FA3">
      <w:pPr>
        <w:pStyle w:val="ListParagraph"/>
        <w:numPr>
          <w:ilvl w:val="1"/>
          <w:numId w:val="7"/>
        </w:numPr>
        <w:tabs>
          <w:tab w:val="left" w:pos="360"/>
        </w:tabs>
        <w:jc w:val="both"/>
        <w:rPr>
          <w:rFonts w:ascii="Calibri" w:hAnsi="Calibri"/>
          <w:lang w:val="de-DE"/>
        </w:rPr>
      </w:pPr>
      <w:r w:rsidRPr="0092627D">
        <w:rPr>
          <w:rFonts w:ascii="Calibri" w:hAnsi="Calibri"/>
          <w:sz w:val="22"/>
          <w:lang w:val="de-DE"/>
        </w:rPr>
        <w:t>Für Bing Maps-Konzernplattform, Bing Maps Mobile Asset Management und Translator API wird der Prozentsatz der monatlichen Betriebszeit anhand der folgenden Formel anstelle der Formel aus Ziffer (a) berechnet:</w:t>
      </w:r>
    </w:p>
    <w:p w:rsidR="000D4A0B" w:rsidRPr="0092627D" w:rsidRDefault="000D4A0B" w:rsidP="00777FA3">
      <w:pPr>
        <w:pStyle w:val="ListParagraph"/>
        <w:tabs>
          <w:tab w:val="left" w:pos="6120"/>
        </w:tabs>
        <w:ind w:left="1440"/>
        <w:rPr>
          <w:rFonts w:ascii="Calibri" w:hAnsi="Calibri"/>
          <w:lang w:val="de-DE"/>
        </w:rPr>
      </w:pPr>
    </w:p>
    <w:p w:rsidR="000D4A0B" w:rsidRPr="005D01F7" w:rsidRDefault="00F95D64" w:rsidP="009F5154">
      <w:pPr>
        <w:pStyle w:val="ListParagraph"/>
        <w:tabs>
          <w:tab w:val="left" w:pos="6120"/>
        </w:tabs>
        <w:rPr>
          <w:rFonts w:ascii="Calibri" w:hAnsi="Calibri"/>
          <w:lang w:val="de-DE"/>
        </w:rPr>
      </w:pPr>
      <m:oMathPara>
        <m:oMath>
          <m:f>
            <m:fPr>
              <m:ctrlPr>
                <w:rPr>
                  <w:rFonts w:ascii="Cambria Math" w:hAnsi="Cambria Math" w:cs="Calibri"/>
                  <w:i/>
                  <w:sz w:val="28"/>
                  <w:szCs w:val="28"/>
                </w:rPr>
              </m:ctrlPr>
            </m:fPr>
            <m:num>
              <m:r>
                <w:rPr>
                  <w:rFonts w:ascii="Cambria Math" w:hAnsi="Cambria Math" w:cs="Calibri"/>
                  <w:sz w:val="28"/>
                  <w:szCs w:val="28"/>
                </w:rPr>
                <m:t xml:space="preserve">Gesamtanzahl der Minuten in einem Monat – Ausfallzeiten </m:t>
              </m:r>
            </m:num>
            <m:den>
              <m:r>
                <w:rPr>
                  <w:rFonts w:ascii="Cambria Math" w:hAnsi="Cambria Math" w:cs="Calibri"/>
                  <w:sz w:val="28"/>
                  <w:szCs w:val="28"/>
                </w:rPr>
                <m:t>Gesamtzahl der Minuten in einem Monat</m:t>
              </m:r>
            </m:den>
          </m:f>
          <m:r>
            <w:rPr>
              <w:rFonts w:ascii="Cambria Math" w:hAnsi="Cambria Math" w:cs="Calibri"/>
              <w:sz w:val="28"/>
              <w:szCs w:val="28"/>
            </w:rPr>
            <m:t xml:space="preserve"> x  100</m:t>
          </m:r>
        </m:oMath>
      </m:oMathPara>
    </w:p>
    <w:p w:rsidR="000D4A0B" w:rsidRPr="00832D89" w:rsidRDefault="000D4A0B" w:rsidP="009F5154">
      <w:pPr>
        <w:pStyle w:val="ListParagraph"/>
        <w:tabs>
          <w:tab w:val="left" w:pos="6120"/>
        </w:tabs>
        <w:rPr>
          <w:rFonts w:ascii="Calibri" w:hAnsi="Calibri" w:cs="Calibri"/>
          <w:sz w:val="12"/>
          <w:szCs w:val="12"/>
        </w:rPr>
      </w:pPr>
    </w:p>
    <w:p w:rsidR="000D4A0B" w:rsidRPr="0092627D" w:rsidRDefault="000D4A0B" w:rsidP="009F5154">
      <w:pPr>
        <w:pStyle w:val="ListParagraph"/>
        <w:tabs>
          <w:tab w:val="left" w:pos="6120"/>
        </w:tabs>
        <w:rPr>
          <w:rFonts w:ascii="Calibri" w:hAnsi="Calibri"/>
          <w:lang w:val="de-DE"/>
        </w:rPr>
      </w:pPr>
      <w:r w:rsidRPr="0092627D">
        <w:rPr>
          <w:rFonts w:ascii="Calibri" w:hAnsi="Calibri"/>
          <w:sz w:val="22"/>
          <w:lang w:val="de-DE"/>
        </w:rPr>
        <w:lastRenderedPageBreak/>
        <w:t>Wobei die Ausfallzeiten als die Gesamtzahl der Minuten während des Monats gemessen werden, in denen die in der Ziffer 2 angegebenen Merkmale eines Diensts nicht verfügbar sind.</w:t>
      </w:r>
    </w:p>
    <w:p w:rsidR="000D4A0B" w:rsidRPr="00BC187C" w:rsidRDefault="000D4A0B" w:rsidP="00AB4F15">
      <w:pPr>
        <w:pStyle w:val="ListParagraph"/>
        <w:suppressAutoHyphens w:val="0"/>
        <w:autoSpaceDN/>
        <w:spacing w:after="200"/>
        <w:ind w:left="360"/>
        <w:jc w:val="both"/>
        <w:textAlignment w:val="auto"/>
        <w:rPr>
          <w:rFonts w:ascii="Calibri" w:hAnsi="Calibri" w:cs="Calibri"/>
          <w:sz w:val="12"/>
          <w:szCs w:val="12"/>
          <w:lang w:val="de-DE"/>
        </w:rPr>
      </w:pPr>
    </w:p>
    <w:p w:rsidR="000D4A0B" w:rsidRPr="00BC187C" w:rsidRDefault="000D4A0B" w:rsidP="00665ED5">
      <w:pPr>
        <w:pStyle w:val="ListParagraph"/>
        <w:suppressAutoHyphens w:val="0"/>
        <w:autoSpaceDN/>
        <w:spacing w:after="200"/>
        <w:ind w:left="360"/>
        <w:jc w:val="both"/>
        <w:textAlignment w:val="auto"/>
        <w:rPr>
          <w:rFonts w:ascii="Calibri" w:hAnsi="Calibri" w:cs="Calibri"/>
          <w:sz w:val="12"/>
          <w:szCs w:val="12"/>
          <w:lang w:val="de-DE"/>
        </w:rPr>
      </w:pPr>
    </w:p>
    <w:p w:rsidR="000D4A0B" w:rsidRPr="0092627D" w:rsidRDefault="000D4A0B" w:rsidP="00777FA3">
      <w:pPr>
        <w:pStyle w:val="productlist"/>
        <w:numPr>
          <w:ilvl w:val="1"/>
          <w:numId w:val="7"/>
        </w:numPr>
        <w:tabs>
          <w:tab w:val="left" w:pos="360"/>
        </w:tabs>
        <w:spacing w:after="60" w:line="240" w:lineRule="auto"/>
        <w:rPr>
          <w:rFonts w:ascii="Calibri" w:hAnsi="Calibri"/>
          <w:lang w:val="de-DE"/>
        </w:rPr>
      </w:pPr>
      <w:r w:rsidRPr="0092627D">
        <w:rPr>
          <w:rFonts w:ascii="Calibri" w:hAnsi="Calibri" w:cs="Calibri"/>
          <w:sz w:val="22"/>
          <w:szCs w:val="22"/>
          <w:lang w:val="de-DE"/>
        </w:rPr>
        <w:t xml:space="preserve">Wenn der Prozentsatz der monatlichen Betriebszeit in einem bestimmten Monat unter 99,9 % fällt, sind Sie womöglich zu folgender Dienstgutschrift berechtigt: </w:t>
      </w:r>
    </w:p>
    <w:p w:rsidR="000D4A0B" w:rsidRPr="0092627D" w:rsidRDefault="000D4A0B" w:rsidP="00627D84">
      <w:pPr>
        <w:pStyle w:val="ListParagraph"/>
        <w:suppressAutoHyphens w:val="0"/>
        <w:autoSpaceDN/>
        <w:spacing w:after="200"/>
        <w:ind w:left="1260"/>
        <w:textAlignment w:val="auto"/>
        <w:rPr>
          <w:rFonts w:ascii="Calibri" w:hAnsi="Calibri"/>
          <w:lang w:val="de-DE"/>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0D4A0B" w:rsidRPr="0092627D" w:rsidTr="00637C9E">
        <w:tc>
          <w:tcPr>
            <w:tcW w:w="3761" w:type="dxa"/>
            <w:shd w:val="clear" w:color="auto" w:fill="D9D9D9"/>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Prozentsatz der monatlichen Betriebszeit</w:t>
            </w:r>
          </w:p>
        </w:tc>
        <w:tc>
          <w:tcPr>
            <w:tcW w:w="3655" w:type="dxa"/>
            <w:shd w:val="clear" w:color="auto" w:fill="D9D9D9"/>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Dienstgutschrift</w:t>
            </w:r>
          </w:p>
        </w:tc>
      </w:tr>
      <w:tr w:rsidR="000D4A0B" w:rsidRPr="0092627D" w:rsidTr="00637C9E">
        <w:tc>
          <w:tcPr>
            <w:tcW w:w="3761"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 xml:space="preserve"> &lt; 99,9 %</w:t>
            </w:r>
          </w:p>
        </w:tc>
        <w:tc>
          <w:tcPr>
            <w:tcW w:w="3655"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25</w:t>
            </w:r>
            <w:r w:rsidRPr="0092627D">
              <w:rPr>
                <w:rFonts w:ascii="Calibri" w:hAnsi="Calibri" w:cs="Arial"/>
                <w:sz w:val="22"/>
                <w:szCs w:val="22"/>
                <w:lang w:val="de-DE"/>
              </w:rPr>
              <w:t> </w:t>
            </w:r>
            <w:r w:rsidRPr="0092627D">
              <w:rPr>
                <w:rFonts w:ascii="Calibri" w:hAnsi="Calibri" w:cs="Calibri"/>
                <w:sz w:val="22"/>
                <w:szCs w:val="22"/>
                <w:lang w:val="de-DE"/>
              </w:rPr>
              <w:t>%</w:t>
            </w:r>
          </w:p>
        </w:tc>
      </w:tr>
      <w:tr w:rsidR="000D4A0B" w:rsidRPr="0092627D" w:rsidTr="00637C9E">
        <w:tc>
          <w:tcPr>
            <w:tcW w:w="3761"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 xml:space="preserve"> &lt; 99 %</w:t>
            </w:r>
          </w:p>
        </w:tc>
        <w:tc>
          <w:tcPr>
            <w:tcW w:w="3655"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50 %</w:t>
            </w:r>
          </w:p>
        </w:tc>
      </w:tr>
      <w:tr w:rsidR="000D4A0B" w:rsidRPr="0092627D" w:rsidTr="00637C9E">
        <w:tc>
          <w:tcPr>
            <w:tcW w:w="3761"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&lt; 95 %</w:t>
            </w:r>
          </w:p>
        </w:tc>
        <w:tc>
          <w:tcPr>
            <w:tcW w:w="3655"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100 %</w:t>
            </w:r>
          </w:p>
        </w:tc>
      </w:tr>
    </w:tbl>
    <w:p w:rsidR="000D4A0B" w:rsidRPr="00352C31" w:rsidRDefault="000D4A0B" w:rsidP="00AB4F15">
      <w:pPr>
        <w:tabs>
          <w:tab w:val="left" w:pos="-90"/>
          <w:tab w:val="left" w:pos="0"/>
        </w:tabs>
        <w:jc w:val="both"/>
        <w:rPr>
          <w:rFonts w:ascii="Calibri" w:hAnsi="Calibri" w:cs="Calibri"/>
          <w:b/>
          <w:sz w:val="12"/>
          <w:szCs w:val="12"/>
        </w:rPr>
      </w:pPr>
    </w:p>
    <w:p w:rsidR="000D4A0B" w:rsidRPr="00352C31" w:rsidRDefault="000D4A0B" w:rsidP="00925391">
      <w:pPr>
        <w:tabs>
          <w:tab w:val="left" w:pos="-90"/>
          <w:tab w:val="left" w:pos="0"/>
        </w:tabs>
        <w:jc w:val="both"/>
        <w:rPr>
          <w:rFonts w:ascii="Calibri" w:hAnsi="Calibri" w:cs="Calibri"/>
          <w:b/>
          <w:sz w:val="12"/>
          <w:szCs w:val="12"/>
        </w:rPr>
      </w:pPr>
    </w:p>
    <w:p w:rsidR="000D4A0B" w:rsidRPr="0092627D" w:rsidRDefault="000D4A0B" w:rsidP="00B101EE">
      <w:pPr>
        <w:pStyle w:val="ListParagraph"/>
        <w:numPr>
          <w:ilvl w:val="0"/>
          <w:numId w:val="7"/>
        </w:numPr>
        <w:tabs>
          <w:tab w:val="left" w:pos="-90"/>
          <w:tab w:val="left" w:pos="360"/>
          <w:tab w:val="left" w:pos="1080"/>
        </w:tabs>
        <w:jc w:val="both"/>
        <w:rPr>
          <w:rFonts w:ascii="Calibri" w:hAnsi="Calibri"/>
          <w:lang w:val="de-DE"/>
        </w:rPr>
      </w:pPr>
      <w:r w:rsidRPr="0092627D">
        <w:rPr>
          <w:rFonts w:ascii="Calibri" w:hAnsi="Calibri"/>
          <w:b/>
          <w:sz w:val="22"/>
          <w:u w:val="single"/>
          <w:lang w:val="de-DE"/>
        </w:rPr>
        <w:t>Anspruch auf eine Dienstgutschrift</w:t>
      </w:r>
      <w:r w:rsidRPr="008C7B0D">
        <w:rPr>
          <w:rFonts w:ascii="Calibri" w:hAnsi="Calibri"/>
          <w:b/>
          <w:bCs/>
          <w:sz w:val="22"/>
          <w:lang w:val="de-DE"/>
        </w:rPr>
        <w:t>.</w:t>
      </w:r>
      <w:r w:rsidRPr="0092627D">
        <w:rPr>
          <w:rFonts w:ascii="Calibri" w:hAnsi="Calibri"/>
          <w:lang w:val="de-DE"/>
        </w:rPr>
        <w:t xml:space="preserve"> </w:t>
      </w:r>
      <w:r w:rsidRPr="0092627D">
        <w:rPr>
          <w:rFonts w:ascii="Calibri" w:hAnsi="Calibri"/>
          <w:sz w:val="22"/>
          <w:lang w:val="de-DE"/>
        </w:rPr>
        <w:t>Wenn wir den oben beschriebenen Prozentsatz der monatlichen Betriebszeit für einen Dienst nicht einhalten, sind Sie berechtigt, einen Anspruch auf Dienstgutschrift einzureichen.</w:t>
      </w:r>
    </w:p>
    <w:p w:rsidR="000D4A0B" w:rsidRPr="0092627D" w:rsidRDefault="000D4A0B" w:rsidP="00B101EE">
      <w:pPr>
        <w:pStyle w:val="ListParagraph"/>
        <w:tabs>
          <w:tab w:val="left" w:pos="-90"/>
          <w:tab w:val="left" w:pos="360"/>
        </w:tabs>
        <w:ind w:left="360" w:hanging="360"/>
        <w:jc w:val="both"/>
        <w:rPr>
          <w:rFonts w:ascii="Calibri" w:hAnsi="Calibri"/>
          <w:lang w:val="de-DE"/>
        </w:rPr>
      </w:pPr>
    </w:p>
    <w:p w:rsidR="000D4A0B" w:rsidRPr="0092627D" w:rsidRDefault="000D4A0B" w:rsidP="008A2417">
      <w:pPr>
        <w:pStyle w:val="ListParagraph"/>
        <w:tabs>
          <w:tab w:val="left" w:pos="-90"/>
          <w:tab w:val="left" w:pos="360"/>
        </w:tabs>
        <w:ind w:left="360" w:hanging="360"/>
        <w:jc w:val="both"/>
        <w:rPr>
          <w:rFonts w:ascii="Calibri" w:hAnsi="Calibri"/>
          <w:lang w:val="de-DE"/>
        </w:rPr>
      </w:pPr>
      <w:r w:rsidRPr="0092627D">
        <w:rPr>
          <w:rFonts w:ascii="Calibri" w:hAnsi="Calibri" w:cs="Calibri"/>
          <w:sz w:val="22"/>
          <w:szCs w:val="22"/>
          <w:lang w:val="de-DE"/>
        </w:rPr>
        <w:tab/>
        <w:t xml:space="preserve">Sie müssen beim Kundensupport von Microsoft Corporation einen Anspruch einreichen, der folgende Angaben enthält: </w:t>
      </w:r>
      <w:r w:rsidRPr="0092627D">
        <w:rPr>
          <w:rFonts w:ascii="Calibri" w:hAnsi="Calibri"/>
          <w:sz w:val="22"/>
          <w:lang w:val="de-DE"/>
        </w:rPr>
        <w:t>(i) eine ausführliche Beschreibung des Vorfalls, (ii) Angaben zur Dauer des Ausfalls, (iii) Anzahl und Standort(e) der betroffenen Nutzer (falls zutreffend), und (iv)</w:t>
      </w:r>
      <w:r w:rsidR="008A2417">
        <w:rPr>
          <w:rFonts w:ascii="Calibri" w:hAnsi="Calibri"/>
          <w:sz w:val="22"/>
          <w:lang w:val="de-DE"/>
        </w:rPr>
        <w:t> </w:t>
      </w:r>
      <w:r w:rsidRPr="0092627D">
        <w:rPr>
          <w:rFonts w:ascii="Calibri" w:hAnsi="Calibri"/>
          <w:sz w:val="22"/>
          <w:lang w:val="de-DE"/>
        </w:rPr>
        <w:t>Beschreibungen Ihrer Versuche, den Vorfall nach Auftreten zu beheben.</w:t>
      </w:r>
      <w:r w:rsidRPr="0092627D">
        <w:rPr>
          <w:rFonts w:ascii="Calibri" w:hAnsi="Calibri"/>
          <w:lang w:val="de-DE"/>
        </w:rPr>
        <w:t xml:space="preserve"> </w:t>
      </w:r>
      <w:r w:rsidRPr="0092627D">
        <w:rPr>
          <w:rFonts w:ascii="Calibri" w:hAnsi="Calibri"/>
          <w:sz w:val="22"/>
          <w:lang w:val="de-DE"/>
        </w:rPr>
        <w:t>Der Anspruch und alle erforderlichen Informationen müssen bis zum Ende des Kalendermonats nach dem Monat, in dem der Vorfall aufgetreten ist, bei uns eingegangen sein.</w:t>
      </w:r>
      <w:r w:rsidRPr="0092627D">
        <w:rPr>
          <w:rFonts w:ascii="Calibri" w:hAnsi="Calibri"/>
          <w:lang w:val="de-DE"/>
        </w:rPr>
        <w:t xml:space="preserve"> </w:t>
      </w:r>
      <w:r w:rsidRPr="0092627D">
        <w:rPr>
          <w:rFonts w:ascii="Calibri" w:hAnsi="Calibri"/>
          <w:sz w:val="22"/>
          <w:lang w:val="de-DE"/>
        </w:rPr>
        <w:t>Wenn der Vorfall zum Beispiel am 15. Februar aufgetreten ist, müssen der Anspruch und alle erforderlichen Informationen bis zum 31. März bei uns eingegangen sein.</w:t>
      </w:r>
    </w:p>
    <w:p w:rsidR="000D4A0B" w:rsidRPr="0092627D" w:rsidRDefault="000D4A0B" w:rsidP="00B101EE">
      <w:pPr>
        <w:pStyle w:val="ListParagraph"/>
        <w:tabs>
          <w:tab w:val="left" w:pos="-90"/>
          <w:tab w:val="left" w:pos="360"/>
        </w:tabs>
        <w:ind w:left="360" w:hanging="360"/>
        <w:jc w:val="both"/>
        <w:rPr>
          <w:rFonts w:ascii="Calibri" w:hAnsi="Calibri"/>
          <w:lang w:val="de-DE"/>
        </w:rPr>
      </w:pPr>
    </w:p>
    <w:p w:rsidR="000D4A0B" w:rsidRPr="0092627D" w:rsidRDefault="000D4A0B" w:rsidP="00B101EE">
      <w:pPr>
        <w:pStyle w:val="ListParagraph"/>
        <w:tabs>
          <w:tab w:val="left" w:pos="-90"/>
          <w:tab w:val="left" w:pos="360"/>
        </w:tabs>
        <w:ind w:left="360" w:hanging="360"/>
        <w:jc w:val="both"/>
        <w:rPr>
          <w:rFonts w:ascii="Calibri" w:hAnsi="Calibri"/>
          <w:lang w:val="de-DE"/>
        </w:rPr>
      </w:pPr>
      <w:r w:rsidRPr="0092627D">
        <w:rPr>
          <w:rFonts w:ascii="Calibri" w:hAnsi="Calibri" w:cs="Calibri"/>
          <w:sz w:val="22"/>
          <w:szCs w:val="22"/>
          <w:lang w:val="de-DE"/>
        </w:rPr>
        <w:tab/>
        <w:t>Wir werten alle Informationen aus, die uns vernünftigerweise zur Verfügung stehen, und entscheiden nach bestem Wissen und Gewissen, ob wir Ihnen eine Dienstgutschrift schulden.</w:t>
      </w:r>
      <w:r w:rsidRPr="0092627D">
        <w:rPr>
          <w:rFonts w:ascii="Calibri" w:hAnsi="Calibri"/>
          <w:lang w:val="de-DE"/>
        </w:rPr>
        <w:t xml:space="preserve"> </w:t>
      </w:r>
      <w:r w:rsidRPr="0092627D">
        <w:rPr>
          <w:rFonts w:ascii="Calibri" w:hAnsi="Calibri"/>
          <w:sz w:val="22"/>
          <w:lang w:val="de-DE"/>
        </w:rPr>
        <w:t>Wir werden wirtschaftlich angemessene Anstrengungen unternehmen, um Ansprüche während des Folgemonats und innerhalb von fünfundvierzig (45) Tagen nach Erhalt zu bearbeiten.</w:t>
      </w:r>
      <w:r w:rsidRPr="0092627D">
        <w:rPr>
          <w:rFonts w:ascii="Calibri" w:hAnsi="Calibri"/>
          <w:lang w:val="de-DE"/>
        </w:rPr>
        <w:t xml:space="preserve"> </w:t>
      </w:r>
      <w:r w:rsidRPr="0092627D">
        <w:rPr>
          <w:rFonts w:ascii="Calibri" w:hAnsi="Calibri"/>
          <w:sz w:val="22"/>
          <w:lang w:val="de-DE"/>
        </w:rPr>
        <w:t>Sie müssen den Vertrag einhalten, um zu einer Dienstgutschrift berechtigt zu sein.</w:t>
      </w:r>
      <w:r w:rsidRPr="0092627D">
        <w:rPr>
          <w:rFonts w:ascii="Calibri" w:hAnsi="Calibri"/>
          <w:lang w:val="de-DE"/>
        </w:rPr>
        <w:t xml:space="preserve"> </w:t>
      </w:r>
      <w:r w:rsidRPr="0092627D">
        <w:rPr>
          <w:rFonts w:ascii="Calibri" w:hAnsi="Calibri"/>
          <w:sz w:val="22"/>
          <w:lang w:val="de-DE"/>
        </w:rPr>
        <w:t>Wenn wir feststellen, dass wir Ihnen eine Dienstgutschrift schulden, wenden wir die Dienstgutschrift auf Ihre Anwendbaren Monatlichen Dienstgebühren an.</w:t>
      </w:r>
    </w:p>
    <w:p w:rsidR="000D4A0B" w:rsidRPr="0092627D" w:rsidRDefault="000D4A0B" w:rsidP="00B101EE">
      <w:pPr>
        <w:pStyle w:val="ListParagraph"/>
        <w:tabs>
          <w:tab w:val="left" w:pos="-90"/>
          <w:tab w:val="left" w:pos="360"/>
        </w:tabs>
        <w:ind w:left="360" w:hanging="360"/>
        <w:jc w:val="both"/>
        <w:rPr>
          <w:rFonts w:ascii="Calibri" w:hAnsi="Calibri"/>
          <w:lang w:val="de-DE"/>
        </w:rPr>
      </w:pPr>
    </w:p>
    <w:p w:rsidR="000D4A0B" w:rsidRPr="0092627D" w:rsidRDefault="000D4A0B" w:rsidP="0057466F">
      <w:pPr>
        <w:pStyle w:val="ListParagraph"/>
        <w:tabs>
          <w:tab w:val="left" w:pos="-90"/>
          <w:tab w:val="left" w:pos="360"/>
        </w:tabs>
        <w:ind w:left="360" w:hanging="360"/>
        <w:jc w:val="both"/>
        <w:rPr>
          <w:rFonts w:ascii="Calibri" w:hAnsi="Calibri"/>
          <w:lang w:val="de-DE"/>
        </w:rPr>
      </w:pPr>
      <w:r w:rsidRPr="0092627D">
        <w:rPr>
          <w:rFonts w:ascii="Calibri" w:hAnsi="Calibri" w:cs="Calibri"/>
          <w:sz w:val="22"/>
          <w:szCs w:val="22"/>
          <w:lang w:val="de-DE"/>
        </w:rPr>
        <w:tab/>
      </w:r>
      <w:r w:rsidRPr="0092627D">
        <w:rPr>
          <w:rFonts w:ascii="Calibri" w:hAnsi="Calibri"/>
          <w:sz w:val="22"/>
          <w:lang w:val="de-DE"/>
        </w:rPr>
        <w:t>Wenn Sie einen Dienst von einem Handelspartner erworben haben, erhalten Sie direkt von Ihrem Handelspartner eine Dienstgutschrift, und der Handelspartner erhält direkt von uns eine Dienstgutschrift.</w:t>
      </w:r>
    </w:p>
    <w:p w:rsidR="000D4A0B" w:rsidRPr="0092627D" w:rsidRDefault="000D4A0B" w:rsidP="00627D84">
      <w:pPr>
        <w:pStyle w:val="ListParagraph"/>
        <w:tabs>
          <w:tab w:val="left" w:pos="-90"/>
          <w:tab w:val="left" w:pos="0"/>
        </w:tabs>
        <w:ind w:left="360"/>
        <w:jc w:val="both"/>
        <w:rPr>
          <w:rFonts w:ascii="Calibri" w:hAnsi="Calibri"/>
          <w:lang w:val="de-DE"/>
        </w:rPr>
      </w:pPr>
    </w:p>
    <w:p w:rsidR="000D4A0B" w:rsidRPr="0092627D" w:rsidRDefault="000D4A0B" w:rsidP="00B101EE">
      <w:pPr>
        <w:pStyle w:val="ListParagraph"/>
        <w:numPr>
          <w:ilvl w:val="0"/>
          <w:numId w:val="7"/>
        </w:numPr>
        <w:tabs>
          <w:tab w:val="left" w:pos="360"/>
          <w:tab w:val="left" w:pos="1080"/>
        </w:tabs>
        <w:jc w:val="both"/>
        <w:rPr>
          <w:rFonts w:ascii="Calibri" w:hAnsi="Calibri"/>
          <w:lang w:val="de-DE"/>
        </w:rPr>
      </w:pPr>
      <w:r w:rsidRPr="0092627D">
        <w:rPr>
          <w:rFonts w:ascii="Calibri" w:hAnsi="Calibri"/>
          <w:b/>
          <w:sz w:val="22"/>
          <w:u w:val="single"/>
          <w:lang w:val="de-DE"/>
        </w:rPr>
        <w:t>Einschränkungen</w:t>
      </w:r>
      <w:r w:rsidRPr="0092627D">
        <w:rPr>
          <w:rFonts w:ascii="Calibri" w:hAnsi="Calibri"/>
          <w:b/>
          <w:sz w:val="22"/>
          <w:lang w:val="de-DE"/>
        </w:rPr>
        <w:t>.</w:t>
      </w:r>
      <w:r w:rsidRPr="0092627D">
        <w:rPr>
          <w:rFonts w:ascii="Calibri" w:hAnsi="Calibri"/>
          <w:lang w:val="de-DE"/>
        </w:rPr>
        <w:t xml:space="preserve"> </w:t>
      </w:r>
    </w:p>
    <w:p w:rsidR="000D4A0B" w:rsidRPr="00047E3E" w:rsidRDefault="000D4A0B" w:rsidP="00627D84">
      <w:pPr>
        <w:pStyle w:val="ListParagraph"/>
        <w:tabs>
          <w:tab w:val="left" w:pos="-90"/>
          <w:tab w:val="left" w:pos="0"/>
        </w:tabs>
        <w:ind w:left="360"/>
        <w:jc w:val="both"/>
        <w:rPr>
          <w:rFonts w:ascii="Calibri" w:hAnsi="Calibri" w:cs="Calibri"/>
          <w:b/>
          <w:sz w:val="12"/>
          <w:szCs w:val="12"/>
        </w:rPr>
      </w:pPr>
    </w:p>
    <w:p w:rsidR="000D4A0B" w:rsidRPr="0092627D" w:rsidRDefault="000D4A0B" w:rsidP="00431708">
      <w:pPr>
        <w:pStyle w:val="ListParagraph"/>
        <w:numPr>
          <w:ilvl w:val="0"/>
          <w:numId w:val="11"/>
        </w:numPr>
        <w:tabs>
          <w:tab w:val="left" w:pos="-90"/>
          <w:tab w:val="left" w:pos="0"/>
        </w:tabs>
        <w:jc w:val="both"/>
        <w:rPr>
          <w:rFonts w:ascii="Calibri" w:hAnsi="Calibri"/>
          <w:lang w:val="de-DE"/>
        </w:rPr>
      </w:pPr>
      <w:r w:rsidRPr="0092627D">
        <w:rPr>
          <w:rFonts w:ascii="Calibri" w:hAnsi="Calibri"/>
          <w:sz w:val="22"/>
          <w:lang w:val="de-DE"/>
        </w:rPr>
        <w:t xml:space="preserve">Diese Vereinbarung zum Servicelevel und alle geltenden Servicelevel gelten </w:t>
      </w:r>
      <w:r w:rsidRPr="0092627D">
        <w:rPr>
          <w:rFonts w:ascii="Calibri" w:hAnsi="Calibri"/>
          <w:sz w:val="22"/>
          <w:u w:val="single"/>
          <w:lang w:val="de-DE"/>
        </w:rPr>
        <w:t>nicht</w:t>
      </w:r>
      <w:r w:rsidRPr="0092627D">
        <w:rPr>
          <w:rFonts w:ascii="Calibri" w:hAnsi="Calibri"/>
          <w:sz w:val="22"/>
          <w:lang w:val="de-DE"/>
        </w:rPr>
        <w:t xml:space="preserve"> für Leistungs- oder Verfügbarkeitsprobleme:</w:t>
      </w:r>
    </w:p>
    <w:p w:rsidR="000D4A0B" w:rsidRPr="00BC187C" w:rsidRDefault="000D4A0B" w:rsidP="00627D84">
      <w:pPr>
        <w:pStyle w:val="ListParagraph"/>
        <w:tabs>
          <w:tab w:val="left" w:pos="-90"/>
          <w:tab w:val="left" w:pos="0"/>
        </w:tabs>
        <w:jc w:val="both"/>
        <w:rPr>
          <w:rFonts w:ascii="Calibri" w:hAnsi="Calibri" w:cs="Calibri"/>
          <w:b/>
          <w:sz w:val="12"/>
          <w:szCs w:val="12"/>
          <w:lang w:val="de-DE"/>
        </w:rPr>
      </w:pPr>
    </w:p>
    <w:p w:rsidR="000D4A0B" w:rsidRPr="0092627D" w:rsidRDefault="000D4A0B" w:rsidP="007D7450">
      <w:pPr>
        <w:pStyle w:val="ListParagraph"/>
        <w:numPr>
          <w:ilvl w:val="2"/>
          <w:numId w:val="7"/>
        </w:numPr>
        <w:tabs>
          <w:tab w:val="left" w:pos="-90"/>
          <w:tab w:val="left" w:pos="0"/>
        </w:tabs>
        <w:ind w:left="1181" w:hanging="274"/>
        <w:jc w:val="both"/>
        <w:rPr>
          <w:rFonts w:ascii="Calibri" w:hAnsi="Calibri"/>
          <w:lang w:val="de-DE"/>
        </w:rPr>
      </w:pPr>
      <w:r w:rsidRPr="0092627D">
        <w:rPr>
          <w:rFonts w:ascii="Calibri" w:hAnsi="Calibri"/>
          <w:sz w:val="22"/>
          <w:lang w:val="de-DE"/>
        </w:rPr>
        <w:t>aufgrund von Faktoren, die außerhalb unserer Kontrolle liegen (z. B. Naturkatastrophen, Kriege, Terroranschläge, Aufstände oder staatliche Maßnahmen),</w:t>
      </w:r>
    </w:p>
    <w:p w:rsidR="000D4A0B" w:rsidRPr="0092627D" w:rsidRDefault="000D4A0B" w:rsidP="007D7450">
      <w:pPr>
        <w:pStyle w:val="ListParagraph"/>
        <w:numPr>
          <w:ilvl w:val="2"/>
          <w:numId w:val="7"/>
        </w:numPr>
        <w:tabs>
          <w:tab w:val="left" w:pos="-90"/>
          <w:tab w:val="left" w:pos="0"/>
        </w:tabs>
        <w:ind w:left="1181" w:hanging="274"/>
        <w:jc w:val="both"/>
        <w:rPr>
          <w:rFonts w:ascii="Calibri" w:hAnsi="Calibri"/>
          <w:lang w:val="de-DE"/>
        </w:rPr>
      </w:pPr>
      <w:r w:rsidRPr="0092627D">
        <w:rPr>
          <w:rFonts w:ascii="Calibri" w:hAnsi="Calibri"/>
          <w:sz w:val="22"/>
          <w:lang w:val="de-DE"/>
        </w:rPr>
        <w:t>die durch Services, Hardware oder Software von Ihnen oder von Dritten verursacht wurden,</w:t>
      </w:r>
    </w:p>
    <w:p w:rsidR="000D4A0B" w:rsidRPr="0092627D" w:rsidRDefault="000D4A0B" w:rsidP="007D7450">
      <w:pPr>
        <w:pStyle w:val="ListParagraph"/>
        <w:numPr>
          <w:ilvl w:val="2"/>
          <w:numId w:val="7"/>
        </w:numPr>
        <w:tabs>
          <w:tab w:val="left" w:pos="-90"/>
          <w:tab w:val="left" w:pos="0"/>
        </w:tabs>
        <w:ind w:left="1181" w:hanging="274"/>
        <w:jc w:val="both"/>
        <w:rPr>
          <w:rFonts w:ascii="Calibri" w:hAnsi="Calibri"/>
          <w:lang w:val="de-DE"/>
        </w:rPr>
      </w:pPr>
      <w:r w:rsidRPr="0092627D">
        <w:rPr>
          <w:rFonts w:ascii="Calibri" w:hAnsi="Calibri"/>
          <w:sz w:val="22"/>
          <w:lang w:val="de-DE"/>
        </w:rPr>
        <w:t>die durch Ihre Verwendung eines Diensts verursacht wurden, nachdem wir Sie angewiesen haben, Ihre Verwendung eines Diensts zu ändern, und Sie Ihre Verwendung nicht wie angewiesen geändert haben,</w:t>
      </w:r>
    </w:p>
    <w:p w:rsidR="000D4A0B" w:rsidRPr="0092627D" w:rsidRDefault="000D4A0B" w:rsidP="007D7450">
      <w:pPr>
        <w:pStyle w:val="ListParagraph"/>
        <w:numPr>
          <w:ilvl w:val="2"/>
          <w:numId w:val="7"/>
        </w:numPr>
        <w:tabs>
          <w:tab w:val="left" w:pos="-90"/>
          <w:tab w:val="left" w:pos="0"/>
        </w:tabs>
        <w:ind w:left="1181" w:hanging="274"/>
        <w:jc w:val="both"/>
        <w:rPr>
          <w:rFonts w:ascii="Calibri" w:hAnsi="Calibri"/>
          <w:lang w:val="de-DE"/>
        </w:rPr>
      </w:pPr>
      <w:r w:rsidRPr="0092627D">
        <w:rPr>
          <w:rFonts w:ascii="Calibri" w:hAnsi="Calibri"/>
          <w:sz w:val="22"/>
          <w:lang w:val="de-DE"/>
        </w:rPr>
        <w:lastRenderedPageBreak/>
        <w:t>während Vorabversions-, Beta- und Testdiensten (wie von uns festgelegt),</w:t>
      </w:r>
    </w:p>
    <w:p w:rsidR="000D4A0B" w:rsidRPr="0092627D" w:rsidRDefault="000D4A0B" w:rsidP="007D7450">
      <w:pPr>
        <w:pStyle w:val="ListParagraph"/>
        <w:numPr>
          <w:ilvl w:val="2"/>
          <w:numId w:val="7"/>
        </w:numPr>
        <w:tabs>
          <w:tab w:val="left" w:pos="-90"/>
          <w:tab w:val="left" w:pos="0"/>
        </w:tabs>
        <w:ind w:left="1181" w:hanging="274"/>
        <w:jc w:val="both"/>
        <w:rPr>
          <w:rFonts w:ascii="Calibri" w:hAnsi="Calibri"/>
          <w:lang w:val="de-DE"/>
        </w:rPr>
      </w:pPr>
      <w:r w:rsidRPr="0092627D">
        <w:rPr>
          <w:rFonts w:ascii="Calibri" w:hAnsi="Calibri"/>
          <w:sz w:val="22"/>
          <w:lang w:val="de-DE"/>
        </w:rPr>
        <w:t>die durch Ihre nicht autorisierte Handlung oder Unterlassung oder die Ihrer Mitarbeiter, Vertreter, Vertragspartner oder Lieferanten oder durch andere Personen verursacht wurden, die sich mithilfe Ihrer Kennwörter oder Geräte Zugriff auf unser Netzwerk verschafft haben, oder</w:t>
      </w:r>
    </w:p>
    <w:p w:rsidR="000D4A0B" w:rsidRPr="0092627D" w:rsidRDefault="000D4A0B" w:rsidP="007D7450">
      <w:pPr>
        <w:pStyle w:val="ListParagraph"/>
        <w:numPr>
          <w:ilvl w:val="2"/>
          <w:numId w:val="7"/>
        </w:numPr>
        <w:tabs>
          <w:tab w:val="left" w:pos="-90"/>
          <w:tab w:val="left" w:pos="0"/>
        </w:tabs>
        <w:ind w:left="1181" w:hanging="274"/>
        <w:jc w:val="both"/>
        <w:rPr>
          <w:rFonts w:ascii="Calibri" w:hAnsi="Calibri"/>
          <w:lang w:val="de-DE"/>
        </w:rPr>
      </w:pPr>
      <w:r w:rsidRPr="0092627D">
        <w:rPr>
          <w:rFonts w:ascii="Calibri" w:hAnsi="Calibri"/>
          <w:sz w:val="22"/>
          <w:lang w:val="de-DE"/>
        </w:rPr>
        <w:t>die durch Ihr Versäumnis, erforderliche Konfigurationen einzuhalten, unterstützte Plattformen zu verwenden und Richtlinien für die akzeptable Nutzung einzuhalten, verursacht wurden.</w:t>
      </w:r>
    </w:p>
    <w:p w:rsidR="000D4A0B" w:rsidRPr="0092627D" w:rsidRDefault="000D4A0B" w:rsidP="007D7450">
      <w:pPr>
        <w:pStyle w:val="ListParagraph"/>
        <w:numPr>
          <w:ilvl w:val="2"/>
          <w:numId w:val="7"/>
        </w:numPr>
        <w:tabs>
          <w:tab w:val="left" w:pos="-90"/>
          <w:tab w:val="left" w:pos="0"/>
        </w:tabs>
        <w:ind w:left="1181" w:hanging="274"/>
        <w:jc w:val="both"/>
        <w:rPr>
          <w:rFonts w:ascii="Calibri" w:hAnsi="Calibri"/>
          <w:lang w:val="de-DE"/>
        </w:rPr>
      </w:pPr>
      <w:r w:rsidRPr="0092627D">
        <w:rPr>
          <w:rFonts w:ascii="Calibri" w:hAnsi="Calibri"/>
          <w:sz w:val="22"/>
          <w:lang w:val="de-DE"/>
        </w:rPr>
        <w:t>Für Lizenzen, die zum Zeitpunkt des Vorfalls reserviert, aber nicht bezahlt waren.</w:t>
      </w:r>
    </w:p>
    <w:p w:rsidR="000D4A0B" w:rsidRPr="00BC187C" w:rsidRDefault="000D4A0B" w:rsidP="00627D84">
      <w:pPr>
        <w:tabs>
          <w:tab w:val="left" w:pos="-90"/>
          <w:tab w:val="left" w:pos="0"/>
        </w:tabs>
        <w:jc w:val="both"/>
        <w:rPr>
          <w:rFonts w:ascii="Calibri" w:hAnsi="Calibri" w:cs="Calibri"/>
          <w:b/>
          <w:sz w:val="12"/>
          <w:szCs w:val="12"/>
          <w:lang w:val="de-DE"/>
        </w:rPr>
      </w:pPr>
    </w:p>
    <w:p w:rsidR="000D4A0B" w:rsidRPr="0092627D" w:rsidRDefault="000D4A0B" w:rsidP="00DB7EBD">
      <w:pPr>
        <w:pStyle w:val="ListParagraph"/>
        <w:numPr>
          <w:ilvl w:val="0"/>
          <w:numId w:val="11"/>
        </w:numPr>
        <w:tabs>
          <w:tab w:val="left" w:pos="-90"/>
          <w:tab w:val="left" w:pos="0"/>
          <w:tab w:val="left" w:pos="360"/>
        </w:tabs>
        <w:jc w:val="both"/>
        <w:rPr>
          <w:rFonts w:ascii="Calibri" w:hAnsi="Calibri"/>
          <w:lang w:val="de-DE"/>
        </w:rPr>
      </w:pPr>
      <w:r w:rsidRPr="0092627D">
        <w:rPr>
          <w:rFonts w:ascii="Calibri" w:hAnsi="Calibri" w:cs="Calibri"/>
          <w:sz w:val="22"/>
          <w:szCs w:val="22"/>
          <w:lang w:val="de-DE"/>
        </w:rPr>
        <w:t>Dienstgutschriften sind unter dem Vertrag und dieser SLA Ihr einziger und ausschließlicher Abhilfeanspruch bei Leistungs- oder Verfügbarkeitsproblemen im Zusammenhang mit einem Dienst.</w:t>
      </w:r>
      <w:r w:rsidRPr="0092627D">
        <w:rPr>
          <w:rFonts w:ascii="Calibri" w:hAnsi="Calibri"/>
          <w:lang w:val="de-DE"/>
        </w:rPr>
        <w:t xml:space="preserve"> </w:t>
      </w:r>
      <w:r w:rsidRPr="0092627D">
        <w:rPr>
          <w:rFonts w:ascii="Calibri" w:hAnsi="Calibri"/>
          <w:sz w:val="22"/>
          <w:lang w:val="de-DE"/>
        </w:rPr>
        <w:t>Sie sind nicht berechtigt, Ihre Anwendbaren Monatlichen Dienstgebühren bei Leistungs- oder Verfügbarkeitsproblemen einseitig zu verrechnen.</w:t>
      </w:r>
    </w:p>
    <w:p w:rsidR="000D4A0B" w:rsidRPr="00BC187C" w:rsidRDefault="000D4A0B" w:rsidP="00DB7EBD">
      <w:pPr>
        <w:tabs>
          <w:tab w:val="left" w:pos="-90"/>
          <w:tab w:val="left" w:pos="0"/>
          <w:tab w:val="left" w:pos="360"/>
        </w:tabs>
        <w:ind w:left="360"/>
        <w:jc w:val="both"/>
        <w:rPr>
          <w:rFonts w:ascii="Calibri" w:hAnsi="Calibri" w:cs="Calibri"/>
          <w:b/>
          <w:sz w:val="12"/>
          <w:szCs w:val="12"/>
          <w:lang w:val="de-DE"/>
        </w:rPr>
      </w:pPr>
    </w:p>
    <w:p w:rsidR="000D4A0B" w:rsidRPr="0092627D" w:rsidRDefault="000D4A0B" w:rsidP="00DB7EBD">
      <w:pPr>
        <w:pStyle w:val="ListParagraph"/>
        <w:numPr>
          <w:ilvl w:val="0"/>
          <w:numId w:val="11"/>
        </w:numPr>
        <w:tabs>
          <w:tab w:val="left" w:pos="-90"/>
          <w:tab w:val="left" w:pos="0"/>
          <w:tab w:val="left" w:pos="360"/>
        </w:tabs>
        <w:jc w:val="both"/>
        <w:rPr>
          <w:rFonts w:ascii="Calibri" w:hAnsi="Calibri"/>
          <w:lang w:val="de-DE"/>
        </w:rPr>
      </w:pPr>
      <w:r w:rsidRPr="0092627D">
        <w:rPr>
          <w:rFonts w:ascii="Calibri" w:hAnsi="Calibri" w:cs="Calibri"/>
          <w:sz w:val="22"/>
          <w:szCs w:val="22"/>
          <w:lang w:val="de-DE"/>
        </w:rPr>
        <w:t xml:space="preserve">Diese SLA gilt nicht für vor Ort lizenzierte Software, die Bestandteil eines Diensts ist. </w:t>
      </w:r>
    </w:p>
    <w:p w:rsidR="000D4A0B" w:rsidRPr="00BC187C" w:rsidRDefault="000D4A0B" w:rsidP="00627D84">
      <w:pPr>
        <w:pStyle w:val="ListParagraph"/>
        <w:rPr>
          <w:rFonts w:ascii="Calibri" w:hAnsi="Calibri" w:cs="Calibri"/>
          <w:b/>
          <w:sz w:val="12"/>
          <w:szCs w:val="12"/>
          <w:lang w:val="de-DE"/>
        </w:rPr>
      </w:pPr>
    </w:p>
    <w:p w:rsidR="000D4A0B" w:rsidRPr="0092627D" w:rsidRDefault="000D4A0B" w:rsidP="00B101EE">
      <w:pPr>
        <w:pStyle w:val="ListParagraph"/>
        <w:numPr>
          <w:ilvl w:val="0"/>
          <w:numId w:val="7"/>
        </w:numPr>
        <w:tabs>
          <w:tab w:val="left" w:pos="-90"/>
          <w:tab w:val="left" w:pos="360"/>
        </w:tabs>
        <w:jc w:val="both"/>
        <w:rPr>
          <w:rFonts w:ascii="Calibri" w:hAnsi="Calibri"/>
          <w:lang w:val="de-DE"/>
        </w:rPr>
      </w:pPr>
      <w:r w:rsidRPr="0092627D">
        <w:rPr>
          <w:rFonts w:ascii="Calibri" w:hAnsi="Calibri"/>
          <w:b/>
          <w:sz w:val="22"/>
          <w:u w:val="single"/>
          <w:lang w:val="de-DE"/>
        </w:rPr>
        <w:t>Erwerb von mehreren Diensten</w:t>
      </w:r>
      <w:r w:rsidRPr="0092627D">
        <w:rPr>
          <w:rFonts w:ascii="Calibri" w:hAnsi="Calibri"/>
          <w:b/>
          <w:sz w:val="22"/>
          <w:lang w:val="de-DE"/>
        </w:rPr>
        <w:t>.</w:t>
      </w:r>
      <w:r w:rsidRPr="0092627D">
        <w:rPr>
          <w:rFonts w:ascii="Calibri" w:hAnsi="Calibri"/>
          <w:lang w:val="de-DE"/>
        </w:rPr>
        <w:t xml:space="preserve"> </w:t>
      </w:r>
      <w:r w:rsidRPr="0092627D">
        <w:rPr>
          <w:rFonts w:ascii="Calibri" w:hAnsi="Calibri"/>
          <w:sz w:val="22"/>
          <w:lang w:val="de-DE"/>
        </w:rPr>
        <w:t>Wenn Sie mehr als einen der in Ziffer 1 oben aufgeführten Dienste erworben haben (nicht als Suite), dann sind Sie berechtigt, gemäß dem oben in Ziffer 4 beschriebenen Verfahren Ansprüche so einzureichen, als ob jeder Dienst von einer eigenen SLA geregelt wird.</w:t>
      </w:r>
      <w:r w:rsidRPr="0092627D">
        <w:rPr>
          <w:rFonts w:ascii="Calibri" w:hAnsi="Calibri"/>
          <w:lang w:val="de-DE"/>
        </w:rPr>
        <w:t xml:space="preserve"> </w:t>
      </w:r>
      <w:r w:rsidRPr="0092627D">
        <w:rPr>
          <w:rFonts w:ascii="Calibri" w:hAnsi="Calibri"/>
          <w:sz w:val="22"/>
          <w:lang w:val="de-DE"/>
        </w:rPr>
        <w:t>Wenn Sie beispielsweise Exchange Online und SharePoint Online (nicht als Teil einer Suite) erworben haben und während der Laufzeit des Abonnements ein Vorfall bei beiden Diensten zu Ausfallzeiten geführt hat, dann sind Sie womöglich zu zwei separaten Dienstgutschriften berechtigt (für jeden Dienst eine) und müssen unter dieser SLA zwei Ansprüche einreichen.</w:t>
      </w:r>
      <w:r w:rsidRPr="0092627D">
        <w:rPr>
          <w:rFonts w:ascii="Calibri" w:hAnsi="Calibri"/>
          <w:lang w:val="de-DE"/>
        </w:rPr>
        <w:t xml:space="preserve"> </w:t>
      </w:r>
    </w:p>
    <w:p w:rsidR="000D4A0B" w:rsidRPr="0092627D" w:rsidRDefault="000D4A0B" w:rsidP="00627D84">
      <w:pPr>
        <w:pStyle w:val="ListParagraph"/>
        <w:tabs>
          <w:tab w:val="left" w:pos="-90"/>
          <w:tab w:val="left" w:pos="0"/>
        </w:tabs>
        <w:ind w:left="360"/>
        <w:jc w:val="both"/>
        <w:rPr>
          <w:rFonts w:ascii="Calibri" w:hAnsi="Calibri"/>
          <w:lang w:val="de-DE"/>
        </w:rPr>
      </w:pPr>
    </w:p>
    <w:p w:rsidR="000D4A0B" w:rsidRPr="0092627D" w:rsidRDefault="000D4A0B" w:rsidP="00925391">
      <w:pPr>
        <w:pStyle w:val="ListParagraph"/>
        <w:numPr>
          <w:ilvl w:val="0"/>
          <w:numId w:val="7"/>
        </w:numPr>
        <w:tabs>
          <w:tab w:val="left" w:pos="-90"/>
          <w:tab w:val="left" w:pos="360"/>
          <w:tab w:val="left" w:pos="1080"/>
        </w:tabs>
        <w:jc w:val="both"/>
        <w:rPr>
          <w:rFonts w:ascii="Calibri" w:hAnsi="Calibri"/>
          <w:lang w:val="de-DE"/>
        </w:rPr>
      </w:pPr>
      <w:r w:rsidRPr="0092627D">
        <w:rPr>
          <w:rFonts w:ascii="Calibri" w:hAnsi="Calibri"/>
          <w:b/>
          <w:sz w:val="22"/>
          <w:u w:val="single"/>
          <w:lang w:val="de-DE"/>
        </w:rPr>
        <w:t>Gleichzeitiger Erwerb von mehreren Diensten</w:t>
      </w:r>
      <w:r w:rsidRPr="0092627D">
        <w:rPr>
          <w:rFonts w:ascii="Calibri" w:hAnsi="Calibri"/>
          <w:b/>
          <w:sz w:val="22"/>
          <w:lang w:val="de-DE"/>
        </w:rPr>
        <w:t>.</w:t>
      </w:r>
      <w:r w:rsidRPr="0092627D">
        <w:rPr>
          <w:rFonts w:ascii="Calibri" w:hAnsi="Calibri"/>
          <w:lang w:val="de-DE"/>
        </w:rPr>
        <w:t xml:space="preserve"> </w:t>
      </w:r>
      <w:r w:rsidRPr="0092627D">
        <w:rPr>
          <w:rFonts w:ascii="Calibri" w:hAnsi="Calibri"/>
          <w:sz w:val="22"/>
          <w:lang w:val="de-DE"/>
        </w:rPr>
        <w:t>Bei Diensten, die im Rahmen einer Suite oder eines sonstigen Einzelangebots erworben werden, werden die Anwendbaren Monatlichen Dienstgebühren und die Dienstgutschrift für jeden Dienst anteilig berechnet.</w:t>
      </w:r>
      <w:r w:rsidRPr="0092627D">
        <w:rPr>
          <w:rFonts w:ascii="Calibri" w:hAnsi="Calibri"/>
          <w:lang w:val="de-DE"/>
        </w:rPr>
        <w:t xml:space="preserve"> </w:t>
      </w:r>
    </w:p>
    <w:p w:rsidR="000D4A0B" w:rsidRPr="00BC187C" w:rsidRDefault="000D4A0B" w:rsidP="00627D84">
      <w:pPr>
        <w:tabs>
          <w:tab w:val="left" w:pos="-90"/>
          <w:tab w:val="left" w:pos="0"/>
        </w:tabs>
        <w:jc w:val="both"/>
        <w:rPr>
          <w:rFonts w:ascii="Calibri" w:hAnsi="Calibri" w:cs="Calibri"/>
          <w:b/>
          <w:sz w:val="12"/>
          <w:szCs w:val="12"/>
          <w:lang w:val="de-DE"/>
        </w:rPr>
      </w:pPr>
    </w:p>
    <w:p w:rsidR="000D4A0B" w:rsidRPr="00557326" w:rsidRDefault="000D4A0B" w:rsidP="00FC5E2D">
      <w:pPr>
        <w:pStyle w:val="ListParagraph"/>
        <w:keepNext/>
        <w:numPr>
          <w:ilvl w:val="0"/>
          <w:numId w:val="7"/>
        </w:numPr>
        <w:tabs>
          <w:tab w:val="left" w:pos="-90"/>
          <w:tab w:val="left" w:pos="0"/>
          <w:tab w:val="left" w:pos="1080"/>
        </w:tabs>
        <w:jc w:val="both"/>
        <w:rPr>
          <w:rFonts w:ascii="Calibri" w:hAnsi="Calibri"/>
          <w:b/>
          <w:bCs/>
          <w:lang w:val="de-DE"/>
        </w:rPr>
      </w:pPr>
      <w:r w:rsidRPr="00557326">
        <w:rPr>
          <w:rFonts w:ascii="Calibri" w:hAnsi="Calibri"/>
          <w:b/>
          <w:bCs/>
          <w:sz w:val="22"/>
          <w:u w:val="single"/>
          <w:lang w:val="de-DE"/>
        </w:rPr>
        <w:t>Ausnahmen und zusätzliche Bestimmungen für bestimmte Dienste und Programme</w:t>
      </w:r>
      <w:r w:rsidRPr="00557326">
        <w:rPr>
          <w:rFonts w:ascii="Calibri" w:hAnsi="Calibri"/>
          <w:b/>
          <w:bCs/>
          <w:sz w:val="22"/>
          <w:lang w:val="de-DE"/>
        </w:rPr>
        <w:t>.</w:t>
      </w:r>
    </w:p>
    <w:p w:rsidR="000D4A0B" w:rsidRPr="0092627D" w:rsidRDefault="000D4A0B" w:rsidP="00FC5E2D">
      <w:pPr>
        <w:keepNext/>
        <w:rPr>
          <w:rFonts w:ascii="Calibri" w:hAnsi="Calibri"/>
          <w:lang w:val="de-DE"/>
        </w:rPr>
      </w:pPr>
    </w:p>
    <w:p w:rsidR="000D4A0B" w:rsidRPr="0092627D" w:rsidRDefault="000D4A0B" w:rsidP="00FC5E2D">
      <w:pPr>
        <w:pStyle w:val="ListParagraph"/>
        <w:keepNext/>
        <w:numPr>
          <w:ilvl w:val="0"/>
          <w:numId w:val="15"/>
        </w:numPr>
        <w:textAlignment w:val="auto"/>
        <w:rPr>
          <w:rFonts w:ascii="Calibri" w:hAnsi="Calibri"/>
          <w:lang w:val="de-DE"/>
        </w:rPr>
      </w:pPr>
      <w:r w:rsidRPr="0092627D">
        <w:rPr>
          <w:rFonts w:ascii="Calibri" w:hAnsi="Calibri"/>
          <w:b/>
          <w:sz w:val="22"/>
          <w:lang w:val="de-DE"/>
        </w:rPr>
        <w:t>Für Bing Maps-Konzernplattform und Bing Maps Mobile Asset Management:</w:t>
      </w:r>
    </w:p>
    <w:p w:rsidR="000D4A0B" w:rsidRPr="00BC187C" w:rsidRDefault="000D4A0B" w:rsidP="00FC5E2D">
      <w:pPr>
        <w:keepNext/>
        <w:ind w:left="720"/>
        <w:rPr>
          <w:rFonts w:ascii="Calibri" w:hAnsi="Calibri" w:cs="Calibri"/>
          <w:sz w:val="22"/>
          <w:szCs w:val="22"/>
          <w:lang w:val="de-DE"/>
        </w:rPr>
      </w:pPr>
    </w:p>
    <w:p w:rsidR="000D4A0B" w:rsidRPr="0092627D" w:rsidRDefault="000D4A0B" w:rsidP="00C629EC">
      <w:pPr>
        <w:ind w:left="720"/>
        <w:rPr>
          <w:rFonts w:ascii="Calibri" w:hAnsi="Calibri"/>
          <w:lang w:val="de-DE"/>
        </w:rPr>
      </w:pPr>
      <w:r w:rsidRPr="0092627D">
        <w:rPr>
          <w:rFonts w:ascii="Calibri" w:hAnsi="Calibri" w:cs="Calibri"/>
          <w:sz w:val="22"/>
          <w:szCs w:val="22"/>
          <w:lang w:val="de-DE"/>
        </w:rPr>
        <w:t xml:space="preserve">Diese SLA gilt nicht für den Erwerb von Bing Maps-Konzernplattform und Bing Maps Mobile Asset Management über Open Value und Open Value Subscription-Lizenzverträge. </w:t>
      </w:r>
    </w:p>
    <w:p w:rsidR="000D4A0B" w:rsidRPr="00BC187C" w:rsidRDefault="000D4A0B" w:rsidP="00025C9B">
      <w:pPr>
        <w:ind w:left="720"/>
        <w:rPr>
          <w:rFonts w:ascii="Calibri" w:hAnsi="Calibri" w:cs="Calibri"/>
          <w:sz w:val="22"/>
          <w:szCs w:val="22"/>
          <w:lang w:val="de-DE"/>
        </w:rPr>
      </w:pPr>
    </w:p>
    <w:p w:rsidR="000D4A0B" w:rsidRPr="0092627D" w:rsidRDefault="000D4A0B" w:rsidP="008A2417">
      <w:pPr>
        <w:ind w:left="720"/>
        <w:rPr>
          <w:rFonts w:ascii="Calibri" w:hAnsi="Calibri"/>
          <w:lang w:val="de-DE"/>
        </w:rPr>
      </w:pPr>
      <w:r w:rsidRPr="0092627D">
        <w:rPr>
          <w:rFonts w:ascii="Calibri" w:hAnsi="Calibri" w:cs="Calibri"/>
          <w:sz w:val="22"/>
          <w:szCs w:val="22"/>
          <w:lang w:val="de-DE"/>
        </w:rPr>
        <w:t>Dienstgutschriften sind in folgenden Fällen nicht anwendbar: (i) wenn Sie jegliche Dienstaktualisierungen nicht innerhalb des in den Nutzungsbestimmungen für die Bing Maps</w:t>
      </w:r>
      <w:r w:rsidR="008A2417">
        <w:rPr>
          <w:rFonts w:ascii="Calibri" w:hAnsi="Calibri" w:cs="Calibri"/>
          <w:sz w:val="22"/>
          <w:szCs w:val="22"/>
          <w:lang w:val="de-DE"/>
        </w:rPr>
        <w:t> </w:t>
      </w:r>
      <w:r w:rsidRPr="0092627D">
        <w:rPr>
          <w:rFonts w:ascii="Calibri" w:hAnsi="Calibri" w:cs="Calibri"/>
          <w:sz w:val="22"/>
          <w:szCs w:val="22"/>
          <w:lang w:val="de-DE"/>
        </w:rPr>
        <w:t>Platform API angegebenen Zeitraums implementieren, und (ii) wenn Sie Microsoft nicht</w:t>
      </w:r>
      <w:r w:rsidR="008A2417">
        <w:rPr>
          <w:rFonts w:ascii="Calibri" w:hAnsi="Calibri" w:cs="Calibri"/>
          <w:sz w:val="22"/>
          <w:szCs w:val="22"/>
          <w:lang w:val="de-DE"/>
        </w:rPr>
        <w:t> </w:t>
      </w:r>
      <w:r w:rsidRPr="0092627D">
        <w:rPr>
          <w:rFonts w:ascii="Calibri" w:hAnsi="Calibri" w:cs="Calibri"/>
          <w:sz w:val="22"/>
          <w:szCs w:val="22"/>
          <w:lang w:val="de-DE"/>
        </w:rPr>
        <w:t>mindestens neunzig (90) Tage im Voraus über jeden bekannten wesentlichen Anstieg des Nutzungsvolumens benachrichtigen, wobei als wesentlicher Anstieg des Nutzungsvolumens 50 % oder mehr der Nutzung im Vormonat definiert sind.</w:t>
      </w:r>
      <w:r w:rsidR="004C636B">
        <w:rPr>
          <w:rFonts w:ascii="Calibri" w:hAnsi="Calibri" w:cs="Calibri"/>
          <w:sz w:val="22"/>
          <w:szCs w:val="22"/>
          <w:lang w:val="de-DE"/>
        </w:rPr>
        <w:t xml:space="preserve"> </w:t>
      </w:r>
    </w:p>
    <w:p w:rsidR="000D4A0B" w:rsidRPr="0092627D" w:rsidRDefault="000D4A0B" w:rsidP="0051568A">
      <w:pPr>
        <w:pStyle w:val="ListParagraph"/>
        <w:rPr>
          <w:rFonts w:ascii="Calibri" w:hAnsi="Calibri"/>
          <w:lang w:val="de-DE"/>
        </w:rPr>
      </w:pPr>
    </w:p>
    <w:p w:rsidR="000D4A0B" w:rsidRPr="0092627D" w:rsidRDefault="000D4A0B" w:rsidP="00FC5E2D">
      <w:pPr>
        <w:pStyle w:val="ListParagraph"/>
        <w:keepNext/>
        <w:numPr>
          <w:ilvl w:val="0"/>
          <w:numId w:val="15"/>
        </w:numPr>
        <w:rPr>
          <w:rFonts w:ascii="Calibri" w:hAnsi="Calibri"/>
          <w:lang w:val="de-DE"/>
        </w:rPr>
      </w:pPr>
      <w:r w:rsidRPr="0092627D">
        <w:rPr>
          <w:rFonts w:ascii="Calibri" w:hAnsi="Calibri"/>
          <w:b/>
          <w:sz w:val="22"/>
          <w:lang w:val="de-DE"/>
        </w:rPr>
        <w:t>Für Duet Enterprise Online:</w:t>
      </w:r>
    </w:p>
    <w:p w:rsidR="000D4A0B" w:rsidRPr="00CF108C" w:rsidRDefault="000D4A0B" w:rsidP="00FC5E2D">
      <w:pPr>
        <w:keepNext/>
        <w:ind w:left="720"/>
        <w:rPr>
          <w:rFonts w:asciiTheme="minorHAnsi" w:hAnsiTheme="minorHAnsi" w:cstheme="minorHAnsi"/>
          <w:sz w:val="22"/>
          <w:szCs w:val="22"/>
        </w:rPr>
      </w:pPr>
    </w:p>
    <w:p w:rsidR="000D4A0B" w:rsidRPr="0092627D" w:rsidRDefault="000D4A0B" w:rsidP="008A2417">
      <w:pPr>
        <w:ind w:left="720"/>
        <w:rPr>
          <w:rFonts w:ascii="Calibri" w:hAnsi="Calibri"/>
          <w:lang w:val="de-DE"/>
        </w:rPr>
      </w:pPr>
      <w:r w:rsidRPr="0092627D">
        <w:rPr>
          <w:rFonts w:ascii="Calibri" w:hAnsi="Calibri" w:cs="Calibri"/>
          <w:sz w:val="22"/>
          <w:szCs w:val="22"/>
          <w:lang w:val="de-DE"/>
        </w:rPr>
        <w:t>Sie sind ausschließlich zu einer Dienstgutschrift für Duet Enterprise Online berechtigt, wenn Sie</w:t>
      </w:r>
      <w:r w:rsidR="008A2417">
        <w:rPr>
          <w:rFonts w:ascii="Calibri" w:hAnsi="Calibri" w:cs="Calibri"/>
          <w:sz w:val="22"/>
          <w:szCs w:val="22"/>
          <w:lang w:val="de-DE"/>
        </w:rPr>
        <w:t> </w:t>
      </w:r>
      <w:r w:rsidRPr="0092627D">
        <w:rPr>
          <w:rFonts w:ascii="Calibri" w:hAnsi="Calibri" w:cs="Calibri"/>
          <w:sz w:val="22"/>
          <w:szCs w:val="22"/>
          <w:lang w:val="de-DE"/>
        </w:rPr>
        <w:t xml:space="preserve">zu einer Gutschrift für Nutzer-ALs von SharePoint Online Plan 2 berechtigt sind, die Sie als Voraussetzung für Ihre Duet Enterprise Online-Nutzer-ALs erworben haben. Diese SLA findet keine Anwendung, wenn der Lese- oder Schreibzugriff auf einen Teil einer SharePoint-Website infolge eines Ausfalls der Software, Geräte oder Dienste Dritter, die nicht von Microsoft </w:t>
      </w:r>
      <w:r w:rsidRPr="0092627D">
        <w:rPr>
          <w:rFonts w:ascii="Calibri" w:hAnsi="Calibri" w:cs="Calibri"/>
          <w:sz w:val="22"/>
          <w:szCs w:val="22"/>
          <w:lang w:val="de-DE"/>
        </w:rPr>
        <w:lastRenderedPageBreak/>
        <w:t xml:space="preserve">kontrolliert werden, oder infolge eines Ausfalls der Software von Microsoft, die nicht von Microsoft selbst als Teil des Diensts ausgeführt wird, nicht möglich ist. </w:t>
      </w:r>
    </w:p>
    <w:p w:rsidR="000D4A0B" w:rsidRPr="00BC187C" w:rsidRDefault="000D4A0B" w:rsidP="00FC5E2D">
      <w:pPr>
        <w:pStyle w:val="ListParagraph"/>
        <w:rPr>
          <w:rFonts w:ascii="Calibri" w:hAnsi="Calibri" w:cs="Calibri"/>
          <w:sz w:val="22"/>
          <w:szCs w:val="22"/>
          <w:lang w:val="de-DE"/>
        </w:rPr>
      </w:pPr>
    </w:p>
    <w:p w:rsidR="000D4A0B" w:rsidRPr="00B07A62" w:rsidRDefault="000D4A0B" w:rsidP="00CD3F75">
      <w:pPr>
        <w:pStyle w:val="ListParagraph"/>
        <w:keepNext/>
        <w:numPr>
          <w:ilvl w:val="0"/>
          <w:numId w:val="15"/>
        </w:numPr>
        <w:rPr>
          <w:rFonts w:ascii="Calibri" w:hAnsi="Calibri"/>
          <w:b/>
          <w:bCs/>
          <w:lang w:val="de-DE"/>
        </w:rPr>
      </w:pPr>
      <w:r w:rsidRPr="00B07A62">
        <w:rPr>
          <w:rFonts w:ascii="Calibri" w:hAnsi="Calibri"/>
          <w:b/>
          <w:bCs/>
          <w:sz w:val="22"/>
          <w:lang w:val="de-DE"/>
        </w:rPr>
        <w:t>Für Exchange Online, Exchange Online-Archivierung (EOA) und Exchange Online Protection</w:t>
      </w:r>
      <w:r w:rsidR="00CD3F75">
        <w:rPr>
          <w:rFonts w:ascii="Calibri" w:hAnsi="Calibri"/>
          <w:b/>
          <w:bCs/>
          <w:sz w:val="22"/>
          <w:lang w:val="de-DE"/>
        </w:rPr>
        <w:t> </w:t>
      </w:r>
      <w:r w:rsidRPr="00B07A62">
        <w:rPr>
          <w:rFonts w:ascii="Calibri" w:hAnsi="Calibri"/>
          <w:b/>
          <w:bCs/>
          <w:sz w:val="22"/>
          <w:lang w:val="de-DE"/>
        </w:rPr>
        <w:t>(EOP):</w:t>
      </w:r>
    </w:p>
    <w:p w:rsidR="000D4A0B" w:rsidRPr="00BC187C" w:rsidRDefault="000D4A0B" w:rsidP="00FC5E2D">
      <w:pPr>
        <w:pStyle w:val="ListParagraph"/>
        <w:keepNext/>
        <w:rPr>
          <w:rFonts w:ascii="Calibri" w:hAnsi="Calibri" w:cs="Calibri"/>
          <w:sz w:val="22"/>
          <w:szCs w:val="22"/>
          <w:lang w:val="de-DE"/>
        </w:rPr>
      </w:pPr>
    </w:p>
    <w:p w:rsidR="000D4A0B" w:rsidRPr="0092627D" w:rsidRDefault="000D4A0B" w:rsidP="00574183">
      <w:pPr>
        <w:pStyle w:val="ListParagraph"/>
        <w:rPr>
          <w:rFonts w:ascii="Calibri" w:hAnsi="Calibri"/>
          <w:lang w:val="de-DE"/>
        </w:rPr>
      </w:pPr>
      <w:r w:rsidRPr="0092627D">
        <w:rPr>
          <w:rFonts w:ascii="Calibri" w:hAnsi="Calibri"/>
          <w:sz w:val="22"/>
          <w:lang w:val="de-DE"/>
        </w:rPr>
        <w:t>Für diese Dienste gibt es keine Geplanten Ausfallzeiten.</w:t>
      </w:r>
    </w:p>
    <w:p w:rsidR="000D4A0B" w:rsidRPr="00BC187C" w:rsidRDefault="000D4A0B" w:rsidP="00574183">
      <w:pPr>
        <w:rPr>
          <w:rFonts w:ascii="Calibri" w:hAnsi="Calibri" w:cs="Calibri"/>
          <w:sz w:val="22"/>
          <w:szCs w:val="22"/>
          <w:lang w:val="de-DE"/>
        </w:rPr>
      </w:pPr>
    </w:p>
    <w:p w:rsidR="000D4A0B" w:rsidRPr="007C2D51" w:rsidRDefault="000D4A0B" w:rsidP="00FC5E2D">
      <w:pPr>
        <w:pStyle w:val="ListParagraph"/>
        <w:keepNext/>
        <w:numPr>
          <w:ilvl w:val="0"/>
          <w:numId w:val="15"/>
        </w:numPr>
        <w:rPr>
          <w:rFonts w:ascii="Calibri" w:hAnsi="Calibri"/>
          <w:b/>
          <w:bCs/>
          <w:lang w:val="de-DE"/>
        </w:rPr>
      </w:pPr>
      <w:r w:rsidRPr="007C2D51">
        <w:rPr>
          <w:rFonts w:ascii="Calibri" w:hAnsi="Calibri"/>
          <w:b/>
          <w:bCs/>
          <w:sz w:val="22"/>
          <w:lang w:val="de-DE"/>
        </w:rPr>
        <w:t>Für Exchange Online und Exchange Online Protection (EOP):</w:t>
      </w:r>
    </w:p>
    <w:p w:rsidR="000D4A0B" w:rsidRPr="00BC187C" w:rsidRDefault="000D4A0B" w:rsidP="00FC5E2D">
      <w:pPr>
        <w:pStyle w:val="ListParagraph"/>
        <w:keepNext/>
        <w:rPr>
          <w:rFonts w:ascii="Calibri" w:hAnsi="Calibri" w:cs="Calibri"/>
          <w:sz w:val="22"/>
          <w:szCs w:val="22"/>
          <w:lang w:val="de-DE"/>
        </w:rPr>
      </w:pPr>
    </w:p>
    <w:p w:rsidR="000D4A0B" w:rsidRPr="0092627D" w:rsidRDefault="000D4A0B" w:rsidP="00EA31F3">
      <w:pPr>
        <w:pStyle w:val="ListParagraph"/>
        <w:rPr>
          <w:rFonts w:ascii="Calibri" w:hAnsi="Calibri"/>
          <w:lang w:val="de-DE"/>
        </w:rPr>
      </w:pPr>
      <w:r w:rsidRPr="0092627D">
        <w:rPr>
          <w:rFonts w:ascii="Calibri" w:hAnsi="Calibri"/>
          <w:sz w:val="22"/>
          <w:lang w:val="de-DE"/>
        </w:rPr>
        <w:t>Im Hinblick auf Exchange Online und EOP, die als eigenständiger Dienst, ECAL-Suite oder Exchange Enterprise CAL mit Diensten lizenziert werden, sind Sie möglicherweise zu Dienstgutschriften berechtigt, wenn wir den unten beschriebenen Servicelevel in Bezug auf die (1) Virenerkennung und -blockierung, (2) Wirksamkeit gegen Spams oder (3) Falsch positiv nicht einhalten.</w:t>
      </w:r>
      <w:r w:rsidRPr="0092627D">
        <w:rPr>
          <w:rFonts w:ascii="Calibri" w:hAnsi="Calibri"/>
          <w:lang w:val="de-DE"/>
        </w:rPr>
        <w:t xml:space="preserve"> </w:t>
      </w:r>
      <w:r w:rsidRPr="0092627D">
        <w:rPr>
          <w:rFonts w:ascii="Calibri" w:hAnsi="Calibri"/>
          <w:sz w:val="22"/>
          <w:lang w:val="de-DE"/>
        </w:rPr>
        <w:t>Wenn irgendeiner dieser Servicelevel nicht erfüllt wird, sind Sie berechtigt, einen Anspruch auf Dienstgutschrift einzureichen. Wenn wir aufgrund eines Vorfalls im Hinblick auf Exchange Online oder EOP mehr als eine SLA-Kennzahl nicht einhalten, sind Sie nur dazu berechtigt, eine Dienstgutschrift für diesen Vorfall pro Dienst zu beanspruchen.</w:t>
      </w:r>
      <w:r w:rsidR="004C636B">
        <w:rPr>
          <w:rFonts w:ascii="Calibri" w:hAnsi="Calibri"/>
          <w:lang w:val="de-DE"/>
        </w:rPr>
        <w:t xml:space="preserve"> </w:t>
      </w:r>
    </w:p>
    <w:p w:rsidR="000D4A0B" w:rsidRPr="00BC187C" w:rsidRDefault="000D4A0B" w:rsidP="00FC5E2D">
      <w:pPr>
        <w:ind w:left="720"/>
        <w:rPr>
          <w:rFonts w:ascii="Calibri" w:hAnsi="Calibri" w:cs="Calibri"/>
          <w:sz w:val="22"/>
          <w:szCs w:val="22"/>
          <w:lang w:val="de-DE"/>
        </w:rPr>
      </w:pPr>
    </w:p>
    <w:p w:rsidR="000D4A0B" w:rsidRPr="0092627D" w:rsidRDefault="000D4A0B" w:rsidP="00FC5E2D">
      <w:pPr>
        <w:pStyle w:val="ListParagraph"/>
        <w:keepNext/>
        <w:numPr>
          <w:ilvl w:val="0"/>
          <w:numId w:val="13"/>
        </w:numPr>
        <w:suppressAutoHyphens w:val="0"/>
        <w:autoSpaceDN/>
        <w:spacing w:after="200"/>
        <w:textAlignment w:val="auto"/>
        <w:rPr>
          <w:rFonts w:ascii="Calibri" w:hAnsi="Calibri"/>
          <w:lang w:val="de-DE"/>
        </w:rPr>
      </w:pPr>
      <w:r w:rsidRPr="0092627D">
        <w:rPr>
          <w:rFonts w:ascii="Calibri" w:hAnsi="Calibri"/>
          <w:sz w:val="22"/>
          <w:lang w:val="de-DE"/>
        </w:rPr>
        <w:t>Servicelevel „Virenerkennung und -blockierung“</w:t>
      </w:r>
    </w:p>
    <w:p w:rsidR="000D4A0B" w:rsidRPr="00111081" w:rsidRDefault="000D4A0B" w:rsidP="00FC5E2D">
      <w:pPr>
        <w:pStyle w:val="ListParagraph"/>
        <w:numPr>
          <w:ilvl w:val="3"/>
          <w:numId w:val="13"/>
        </w:numPr>
        <w:suppressAutoHyphens w:val="0"/>
        <w:autoSpaceDN/>
        <w:spacing w:after="200"/>
        <w:textAlignment w:val="auto"/>
        <w:rPr>
          <w:rFonts w:ascii="Calibri" w:hAnsi="Calibri"/>
          <w:sz w:val="22"/>
          <w:szCs w:val="22"/>
          <w:lang w:val="de-DE"/>
        </w:rPr>
      </w:pPr>
      <w:r w:rsidRPr="00111081">
        <w:rPr>
          <w:rFonts w:ascii="Calibri" w:hAnsi="Calibri" w:cs="Calibri"/>
          <w:sz w:val="22"/>
          <w:szCs w:val="22"/>
          <w:lang w:val="de-DE"/>
        </w:rPr>
        <w:t>„Virenerkennung und -blockierung“ ist definiert als die Erkennung und Blockierung von Viren mithilfe der Filter zur Vermeidung von Vireninfektionen. „Viren“ werden in der Regel definiert als bekannte Schadprogramme (Malware), wozu Viren, Würmer und Trojanische Pferde zählen.</w:t>
      </w:r>
      <w:r w:rsidRPr="00111081">
        <w:rPr>
          <w:rFonts w:ascii="Calibri" w:hAnsi="Calibri"/>
          <w:sz w:val="22"/>
          <w:szCs w:val="22"/>
          <w:lang w:val="de-DE"/>
        </w:rPr>
        <w:t xml:space="preserve"> Eine Klassifizierung von Schadprogrammen finden Sie unter </w:t>
      </w:r>
      <w:r w:rsidR="004D435A">
        <w:fldChar w:fldCharType="begin"/>
      </w:r>
      <w:r w:rsidR="004D435A">
        <w:instrText xml:space="preserve"> HYPERLINK "http://go.microsoft.com/fwlink/?LinkId=294107" </w:instrText>
      </w:r>
      <w:r w:rsidR="004D435A">
        <w:fldChar w:fldCharType="separate"/>
      </w:r>
      <w:r w:rsidRPr="00111081">
        <w:rPr>
          <w:rStyle w:val="Hyperlink"/>
          <w:rFonts w:ascii="Calibri" w:hAnsi="Calibri"/>
          <w:sz w:val="22"/>
          <w:szCs w:val="22"/>
          <w:lang w:val="de-DE"/>
        </w:rPr>
        <w:t>http://go.microsoft.com/fwlink/?LinkId=294107</w:t>
      </w:r>
      <w:r w:rsidR="004D435A">
        <w:rPr>
          <w:rStyle w:val="Hyperlink"/>
          <w:rFonts w:ascii="Calibri" w:hAnsi="Calibri"/>
          <w:sz w:val="22"/>
          <w:szCs w:val="22"/>
          <w:lang w:val="de-DE"/>
        </w:rPr>
        <w:fldChar w:fldCharType="end"/>
      </w:r>
      <w:r w:rsidRPr="00111081">
        <w:rPr>
          <w:rFonts w:ascii="Calibri" w:hAnsi="Calibri"/>
          <w:sz w:val="22"/>
          <w:szCs w:val="22"/>
          <w:lang w:val="de-DE"/>
        </w:rPr>
        <w:t xml:space="preserve">. </w:t>
      </w:r>
    </w:p>
    <w:p w:rsidR="000D4A0B" w:rsidRPr="00111081" w:rsidRDefault="000D4A0B" w:rsidP="00FC5E2D">
      <w:pPr>
        <w:pStyle w:val="ListParagraph"/>
        <w:numPr>
          <w:ilvl w:val="3"/>
          <w:numId w:val="13"/>
        </w:numPr>
        <w:suppressAutoHyphens w:val="0"/>
        <w:autoSpaceDN/>
        <w:spacing w:after="200"/>
        <w:textAlignment w:val="auto"/>
        <w:rPr>
          <w:rFonts w:ascii="Calibri" w:hAnsi="Calibri"/>
          <w:sz w:val="22"/>
          <w:szCs w:val="22"/>
          <w:lang w:val="de-DE"/>
        </w:rPr>
      </w:pPr>
      <w:r w:rsidRPr="00111081">
        <w:rPr>
          <w:rFonts w:ascii="Calibri" w:hAnsi="Calibri"/>
          <w:sz w:val="22"/>
          <w:szCs w:val="22"/>
          <w:lang w:val="de-DE"/>
        </w:rPr>
        <w:t>Ein Virus gilt als bekannt, wenn ein EOP-Virenscanner den Virus erkennen kann und die Fähigkeit zur Erkennung des Virus im gesamten EOP-Netzwerk zur Verfügung steht.</w:t>
      </w:r>
    </w:p>
    <w:p w:rsidR="000D4A0B" w:rsidRPr="00111081" w:rsidRDefault="000D4A0B" w:rsidP="00FC5E2D">
      <w:pPr>
        <w:pStyle w:val="ListParagraph"/>
        <w:numPr>
          <w:ilvl w:val="3"/>
          <w:numId w:val="13"/>
        </w:numPr>
        <w:suppressAutoHyphens w:val="0"/>
        <w:autoSpaceDN/>
        <w:spacing w:after="200"/>
        <w:textAlignment w:val="auto"/>
        <w:rPr>
          <w:rFonts w:ascii="Calibri" w:hAnsi="Calibri"/>
          <w:sz w:val="22"/>
          <w:szCs w:val="22"/>
          <w:lang w:val="de-DE"/>
        </w:rPr>
      </w:pPr>
      <w:r w:rsidRPr="00111081">
        <w:rPr>
          <w:rFonts w:ascii="Calibri" w:hAnsi="Calibri"/>
          <w:sz w:val="22"/>
          <w:szCs w:val="22"/>
          <w:lang w:val="de-DE"/>
        </w:rPr>
        <w:t>Er muss sich aus einer nicht zielgerichteten Infektion ergeben.</w:t>
      </w:r>
    </w:p>
    <w:p w:rsidR="000D4A0B" w:rsidRPr="00111081" w:rsidRDefault="000D4A0B" w:rsidP="00FC5E2D">
      <w:pPr>
        <w:pStyle w:val="ListParagraph"/>
        <w:numPr>
          <w:ilvl w:val="3"/>
          <w:numId w:val="13"/>
        </w:numPr>
        <w:suppressAutoHyphens w:val="0"/>
        <w:autoSpaceDN/>
        <w:spacing w:after="200"/>
        <w:textAlignment w:val="auto"/>
        <w:rPr>
          <w:rFonts w:ascii="Calibri" w:hAnsi="Calibri"/>
          <w:sz w:val="22"/>
          <w:szCs w:val="22"/>
          <w:lang w:val="de-DE"/>
        </w:rPr>
      </w:pPr>
      <w:r w:rsidRPr="00111081">
        <w:rPr>
          <w:rFonts w:ascii="Calibri" w:hAnsi="Calibri"/>
          <w:sz w:val="22"/>
          <w:szCs w:val="22"/>
          <w:lang w:val="de-DE"/>
        </w:rPr>
        <w:t>Der Virus muss vom EOP-Virenfilter erkannt worden sein.</w:t>
      </w:r>
    </w:p>
    <w:p w:rsidR="000D4A0B" w:rsidRPr="00111081" w:rsidRDefault="000D4A0B" w:rsidP="00FC5E2D">
      <w:pPr>
        <w:pStyle w:val="ListParagraph"/>
        <w:numPr>
          <w:ilvl w:val="3"/>
          <w:numId w:val="13"/>
        </w:numPr>
        <w:suppressAutoHyphens w:val="0"/>
        <w:autoSpaceDN/>
        <w:spacing w:after="200"/>
        <w:textAlignment w:val="auto"/>
        <w:rPr>
          <w:rFonts w:ascii="Calibri" w:hAnsi="Calibri"/>
          <w:sz w:val="22"/>
          <w:szCs w:val="22"/>
          <w:lang w:val="de-DE"/>
        </w:rPr>
      </w:pPr>
      <w:r w:rsidRPr="00111081">
        <w:rPr>
          <w:rFonts w:ascii="Calibri" w:hAnsi="Calibri"/>
          <w:sz w:val="22"/>
          <w:szCs w:val="22"/>
          <w:lang w:val="de-DE"/>
        </w:rPr>
        <w:t>Wenn EOP eine mit einem bekannten Virus infizierte E-Mail an Sie zustellt, unterrichtet EOP Sie und arbeitet mit Ihnen zusammen, um den Virus zu identifizieren und zu entfernen. Wenn dadurch eine Infektion vermieden werden kann, sind Sie nicht zu einer Dienstgutschrift unter dem Servicelevel „Virenerkennung und -blockierung“ berechtigt.</w:t>
      </w:r>
    </w:p>
    <w:p w:rsidR="000D4A0B" w:rsidRPr="00111081" w:rsidRDefault="000D4A0B" w:rsidP="00FC5E2D">
      <w:pPr>
        <w:pStyle w:val="ListParagraph"/>
        <w:numPr>
          <w:ilvl w:val="3"/>
          <w:numId w:val="13"/>
        </w:numPr>
        <w:suppressAutoHyphens w:val="0"/>
        <w:autoSpaceDN/>
        <w:spacing w:after="200"/>
        <w:textAlignment w:val="auto"/>
        <w:rPr>
          <w:rFonts w:ascii="Calibri" w:hAnsi="Calibri"/>
          <w:sz w:val="22"/>
          <w:szCs w:val="22"/>
          <w:lang w:val="de-DE"/>
        </w:rPr>
      </w:pPr>
      <w:r w:rsidRPr="00111081">
        <w:rPr>
          <w:rFonts w:ascii="Calibri" w:hAnsi="Calibri"/>
          <w:sz w:val="22"/>
          <w:szCs w:val="22"/>
          <w:lang w:val="de-DE"/>
        </w:rPr>
        <w:t>Der Servicelevel „Virenerkennung und -blockierung“ gilt nicht für:</w:t>
      </w:r>
    </w:p>
    <w:p w:rsidR="000D4A0B" w:rsidRPr="002848E5" w:rsidRDefault="000D4A0B" w:rsidP="002848E5">
      <w:pPr>
        <w:pStyle w:val="ListParagraph"/>
        <w:numPr>
          <w:ilvl w:val="4"/>
          <w:numId w:val="13"/>
        </w:numPr>
        <w:suppressAutoHyphens w:val="0"/>
        <w:autoSpaceDN/>
        <w:spacing w:after="200"/>
        <w:ind w:left="2074"/>
        <w:textAlignment w:val="auto"/>
        <w:rPr>
          <w:rFonts w:ascii="Calibri" w:hAnsi="Calibri"/>
          <w:sz w:val="22"/>
          <w:szCs w:val="22"/>
          <w:lang w:val="de-DE"/>
        </w:rPr>
      </w:pPr>
      <w:r w:rsidRPr="002848E5">
        <w:rPr>
          <w:rFonts w:ascii="Calibri" w:hAnsi="Calibri"/>
          <w:sz w:val="22"/>
          <w:szCs w:val="22"/>
          <w:lang w:val="de-DE"/>
        </w:rPr>
        <w:t xml:space="preserve">Formen von E-Mail-Missbrauch, die nicht als Malware eingestuft sind, wie z. B. Spam-Mails, Phishing-Mails und andere betrügerische E-Mails sowie Mails mit Adware und Spyware. Eine Klassifizierung von Schadprogrammen finden Sie unter </w:t>
      </w:r>
      <w:r w:rsidR="004D435A">
        <w:fldChar w:fldCharType="begin"/>
      </w:r>
      <w:r w:rsidR="004D435A">
        <w:instrText xml:space="preserve"> HYPERLINK "http://go.microsoft.com/fwlink/?LinkId=294107" </w:instrText>
      </w:r>
      <w:r w:rsidR="004D435A">
        <w:fldChar w:fldCharType="separate"/>
      </w:r>
      <w:r w:rsidRPr="002848E5">
        <w:rPr>
          <w:rStyle w:val="Hyperlink"/>
          <w:rFonts w:ascii="Calibri" w:hAnsi="Calibri"/>
          <w:sz w:val="22"/>
          <w:szCs w:val="22"/>
          <w:lang w:val="de-DE"/>
        </w:rPr>
        <w:t>http://go.microsoft.com/fwlink/?LinkId=294107</w:t>
      </w:r>
      <w:r w:rsidR="004D435A">
        <w:rPr>
          <w:rStyle w:val="Hyperlink"/>
          <w:rFonts w:ascii="Calibri" w:hAnsi="Calibri"/>
          <w:sz w:val="22"/>
          <w:szCs w:val="22"/>
          <w:lang w:val="de-DE"/>
        </w:rPr>
        <w:fldChar w:fldCharType="end"/>
      </w:r>
      <w:r w:rsidRPr="002848E5">
        <w:rPr>
          <w:rFonts w:ascii="Calibri" w:hAnsi="Calibri"/>
          <w:sz w:val="22"/>
          <w:szCs w:val="22"/>
          <w:lang w:val="de-DE"/>
        </w:rPr>
        <w:t>.</w:t>
      </w:r>
    </w:p>
    <w:p w:rsidR="000D4A0B" w:rsidRPr="002848E5" w:rsidRDefault="000D4A0B" w:rsidP="002848E5">
      <w:pPr>
        <w:pStyle w:val="ListParagraph"/>
        <w:numPr>
          <w:ilvl w:val="4"/>
          <w:numId w:val="13"/>
        </w:numPr>
        <w:suppressAutoHyphens w:val="0"/>
        <w:autoSpaceDN/>
        <w:spacing w:after="200"/>
        <w:ind w:left="2074"/>
        <w:textAlignment w:val="auto"/>
        <w:rPr>
          <w:rFonts w:ascii="Calibri" w:hAnsi="Calibri"/>
          <w:sz w:val="22"/>
          <w:szCs w:val="22"/>
          <w:lang w:val="de-DE"/>
        </w:rPr>
      </w:pPr>
      <w:r w:rsidRPr="002848E5">
        <w:rPr>
          <w:rFonts w:ascii="Calibri" w:hAnsi="Calibri"/>
          <w:sz w:val="22"/>
          <w:szCs w:val="22"/>
          <w:lang w:val="de-DE"/>
        </w:rPr>
        <w:t>Fehlerhafte, defekte, trunkierte oder inaktive Viren in Unzustellbarkeitsberichten, Benachrichtigungen oder unzustellbaren E-Mails.</w:t>
      </w:r>
    </w:p>
    <w:p w:rsidR="000D4A0B" w:rsidRPr="0092627D" w:rsidRDefault="000D4A0B" w:rsidP="00FC5E2D">
      <w:pPr>
        <w:pStyle w:val="ListParagraph"/>
        <w:numPr>
          <w:ilvl w:val="3"/>
          <w:numId w:val="13"/>
        </w:numPr>
        <w:suppressAutoHyphens w:val="0"/>
        <w:autoSpaceDN/>
        <w:spacing w:after="200"/>
        <w:textAlignment w:val="auto"/>
        <w:rPr>
          <w:rFonts w:ascii="Calibri" w:hAnsi="Calibri"/>
          <w:lang w:val="de-DE"/>
        </w:rPr>
      </w:pPr>
      <w:r w:rsidRPr="0092627D">
        <w:rPr>
          <w:rFonts w:ascii="Calibri" w:hAnsi="Calibri" w:cs="Calibri"/>
          <w:sz w:val="22"/>
          <w:szCs w:val="22"/>
          <w:lang w:val="de-DE"/>
        </w:rPr>
        <w:t xml:space="preserve">Die verfügbare Dienstgutschrift für den Dienst „Virenerkennung und -blockierung“ beträgt: </w:t>
      </w:r>
      <w:r w:rsidRPr="0092627D">
        <w:rPr>
          <w:rFonts w:ascii="Calibri" w:hAnsi="Calibri"/>
          <w:sz w:val="22"/>
          <w:lang w:val="de-DE"/>
        </w:rPr>
        <w:t>Dienstgutschrift von 25 % der Anwendbaren Monatlichen Dienstgebühren, wenn eine Infektion innerhalb eines Kalendermonats auftritt; pro Kalendermonat kann maximal ein Anspruch angemeldet werden.</w:t>
      </w:r>
    </w:p>
    <w:p w:rsidR="000D4A0B" w:rsidRPr="0092627D" w:rsidRDefault="000D4A0B" w:rsidP="007D7B02">
      <w:pPr>
        <w:pStyle w:val="ListParagraph"/>
        <w:ind w:left="2520"/>
        <w:rPr>
          <w:rFonts w:ascii="Calibri" w:hAnsi="Calibri"/>
          <w:lang w:val="de-DE"/>
        </w:rPr>
      </w:pPr>
    </w:p>
    <w:p w:rsidR="000D4A0B" w:rsidRPr="0092627D" w:rsidRDefault="000D4A0B" w:rsidP="00FC5E2D">
      <w:pPr>
        <w:pStyle w:val="ListParagraph"/>
        <w:keepNext/>
        <w:numPr>
          <w:ilvl w:val="0"/>
          <w:numId w:val="13"/>
        </w:numPr>
        <w:suppressAutoHyphens w:val="0"/>
        <w:autoSpaceDN/>
        <w:spacing w:after="200"/>
        <w:textAlignment w:val="auto"/>
        <w:rPr>
          <w:rFonts w:ascii="Calibri" w:hAnsi="Calibri"/>
          <w:lang w:val="de-DE"/>
        </w:rPr>
      </w:pPr>
      <w:r w:rsidRPr="0092627D">
        <w:rPr>
          <w:rFonts w:ascii="Calibri" w:hAnsi="Calibri"/>
          <w:sz w:val="22"/>
          <w:lang w:val="de-DE"/>
        </w:rPr>
        <w:lastRenderedPageBreak/>
        <w:t>Servicelevel „Wirksamkeit gegen Spams“</w:t>
      </w:r>
    </w:p>
    <w:p w:rsidR="000D4A0B" w:rsidRPr="0092627D" w:rsidRDefault="000D4A0B" w:rsidP="004A385A">
      <w:pPr>
        <w:pStyle w:val="ListParagraph"/>
        <w:numPr>
          <w:ilvl w:val="3"/>
          <w:numId w:val="13"/>
        </w:numPr>
        <w:suppressAutoHyphens w:val="0"/>
        <w:autoSpaceDN/>
        <w:spacing w:after="200"/>
        <w:ind w:left="1627"/>
        <w:textAlignment w:val="auto"/>
        <w:rPr>
          <w:rFonts w:ascii="Calibri" w:hAnsi="Calibri"/>
          <w:lang w:val="de-DE"/>
        </w:rPr>
      </w:pPr>
      <w:r w:rsidRPr="0092627D">
        <w:rPr>
          <w:rFonts w:ascii="Calibri" w:hAnsi="Calibri"/>
          <w:sz w:val="22"/>
          <w:lang w:val="de-DE"/>
        </w:rPr>
        <w:t>„Wirksamkeit gegen Spams“ ist definiert als der Prozentsatz eingehender Spams, die</w:t>
      </w:r>
      <w:r w:rsidR="004A385A">
        <w:rPr>
          <w:rFonts w:ascii="Calibri" w:hAnsi="Calibri"/>
          <w:sz w:val="22"/>
          <w:lang w:val="de-DE"/>
        </w:rPr>
        <w:t> </w:t>
      </w:r>
      <w:r w:rsidRPr="0092627D">
        <w:rPr>
          <w:rFonts w:ascii="Calibri" w:hAnsi="Calibri"/>
          <w:sz w:val="22"/>
          <w:lang w:val="de-DE"/>
        </w:rPr>
        <w:t>vom Filtersystem erkannt werden, wobei die Messung täglich erfolgt.</w:t>
      </w:r>
    </w:p>
    <w:p w:rsidR="000D4A0B" w:rsidRPr="0092627D" w:rsidRDefault="000D4A0B" w:rsidP="005E7AFB">
      <w:pPr>
        <w:pStyle w:val="ListParagraph"/>
        <w:numPr>
          <w:ilvl w:val="3"/>
          <w:numId w:val="13"/>
        </w:numPr>
        <w:suppressAutoHyphens w:val="0"/>
        <w:autoSpaceDN/>
        <w:spacing w:after="200"/>
        <w:ind w:left="1627"/>
        <w:textAlignment w:val="auto"/>
        <w:rPr>
          <w:rFonts w:ascii="Calibri" w:hAnsi="Calibri"/>
          <w:lang w:val="de-DE"/>
        </w:rPr>
      </w:pPr>
      <w:r w:rsidRPr="0092627D">
        <w:rPr>
          <w:rFonts w:ascii="Calibri" w:hAnsi="Calibri"/>
          <w:sz w:val="22"/>
          <w:lang w:val="de-DE"/>
        </w:rPr>
        <w:t>Die Schätzwerte bezüglich der Wirksamkeit gegen Spams berücksichtigen nicht die Zustellung falscher Negativer an ungültige Postfächer.</w:t>
      </w:r>
    </w:p>
    <w:p w:rsidR="000D4A0B" w:rsidRPr="0092627D" w:rsidRDefault="000D4A0B" w:rsidP="005E7AFB">
      <w:pPr>
        <w:pStyle w:val="ListParagraph"/>
        <w:numPr>
          <w:ilvl w:val="3"/>
          <w:numId w:val="13"/>
        </w:numPr>
        <w:suppressAutoHyphens w:val="0"/>
        <w:autoSpaceDN/>
        <w:spacing w:after="200"/>
        <w:ind w:left="1627"/>
        <w:textAlignment w:val="auto"/>
        <w:rPr>
          <w:rFonts w:ascii="Calibri" w:hAnsi="Calibri"/>
          <w:lang w:val="de-DE"/>
        </w:rPr>
      </w:pPr>
      <w:r w:rsidRPr="0092627D">
        <w:rPr>
          <w:rFonts w:ascii="Calibri" w:hAnsi="Calibri"/>
          <w:sz w:val="22"/>
          <w:lang w:val="de-DE"/>
        </w:rPr>
        <w:t>Die Spam-Mail muss mit unserem Dienst verarbeitet werden und darf nicht fehlerhaft, beschädigt oder trunkiert sein.</w:t>
      </w:r>
    </w:p>
    <w:p w:rsidR="000D4A0B" w:rsidRPr="0092627D" w:rsidRDefault="000D4A0B" w:rsidP="005E7AFB">
      <w:pPr>
        <w:pStyle w:val="ListParagraph"/>
        <w:numPr>
          <w:ilvl w:val="3"/>
          <w:numId w:val="13"/>
        </w:numPr>
        <w:suppressAutoHyphens w:val="0"/>
        <w:autoSpaceDN/>
        <w:spacing w:after="200"/>
        <w:ind w:left="1627"/>
        <w:textAlignment w:val="auto"/>
        <w:rPr>
          <w:rFonts w:ascii="Calibri" w:hAnsi="Calibri"/>
          <w:lang w:val="de-DE"/>
        </w:rPr>
      </w:pPr>
      <w:r w:rsidRPr="0092627D">
        <w:rPr>
          <w:rFonts w:ascii="Calibri" w:hAnsi="Calibri" w:cs="Calibri"/>
          <w:sz w:val="22"/>
          <w:szCs w:val="22"/>
          <w:lang w:val="de-DE"/>
        </w:rPr>
        <w:t xml:space="preserve">Der Servicelevel „Wirksamkeit gegen Spams“ findet keine Anwendung auf E-Mails mit überwiegend nicht-englischsprachigem Inhalt. </w:t>
      </w:r>
    </w:p>
    <w:p w:rsidR="000D4A0B" w:rsidRPr="0092627D" w:rsidRDefault="000D4A0B" w:rsidP="005E7AFB">
      <w:pPr>
        <w:pStyle w:val="ListParagraph"/>
        <w:numPr>
          <w:ilvl w:val="3"/>
          <w:numId w:val="13"/>
        </w:numPr>
        <w:suppressAutoHyphens w:val="0"/>
        <w:autoSpaceDN/>
        <w:spacing w:after="200"/>
        <w:ind w:left="1627"/>
        <w:textAlignment w:val="auto"/>
        <w:rPr>
          <w:rFonts w:ascii="Calibri" w:hAnsi="Calibri"/>
          <w:lang w:val="de-DE"/>
        </w:rPr>
      </w:pPr>
      <w:r w:rsidRPr="0092627D">
        <w:rPr>
          <w:rFonts w:ascii="Calibri" w:hAnsi="Calibri"/>
          <w:sz w:val="22"/>
          <w:lang w:val="de-DE"/>
        </w:rPr>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rsidR="000D4A0B" w:rsidRPr="0092627D" w:rsidRDefault="000D4A0B" w:rsidP="005E7AFB">
      <w:pPr>
        <w:pStyle w:val="ListParagraph"/>
        <w:numPr>
          <w:ilvl w:val="3"/>
          <w:numId w:val="13"/>
        </w:numPr>
        <w:suppressAutoHyphens w:val="0"/>
        <w:autoSpaceDN/>
        <w:spacing w:after="200"/>
        <w:ind w:left="1627"/>
        <w:textAlignment w:val="auto"/>
        <w:rPr>
          <w:rFonts w:ascii="Calibri" w:hAnsi="Calibri"/>
          <w:lang w:val="de-DE"/>
        </w:rPr>
      </w:pPr>
      <w:r w:rsidRPr="0092627D">
        <w:rPr>
          <w:rFonts w:ascii="Calibri" w:hAnsi="Calibri"/>
          <w:sz w:val="22"/>
          <w:lang w:val="de-DE"/>
        </w:rPr>
        <w:t>Die verfügbare Dienstgutschrift für den Dienst „Wirksamkeit gegen Spams“ beträgt:</w:t>
      </w:r>
    </w:p>
    <w:p w:rsidR="000D4A0B" w:rsidRPr="00BC187C" w:rsidRDefault="000D4A0B" w:rsidP="007D7B02">
      <w:pPr>
        <w:pStyle w:val="ListParagraph"/>
        <w:suppressAutoHyphens w:val="0"/>
        <w:autoSpaceDN/>
        <w:spacing w:after="200"/>
        <w:ind w:left="1620"/>
        <w:textAlignment w:val="auto"/>
        <w:rPr>
          <w:rFonts w:ascii="Calibri" w:hAnsi="Calibri" w:cs="Calibri"/>
          <w:sz w:val="12"/>
          <w:szCs w:val="1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0D4A0B" w:rsidRPr="0092627D" w:rsidTr="007D7B02">
        <w:tc>
          <w:tcPr>
            <w:tcW w:w="3772" w:type="dxa"/>
            <w:shd w:val="clear" w:color="auto" w:fill="D9D9D9"/>
          </w:tcPr>
          <w:p w:rsidR="000D4A0B" w:rsidRPr="0092627D" w:rsidRDefault="000D4A0B" w:rsidP="00226657">
            <w:pPr>
              <w:pStyle w:val="ListParagraph"/>
              <w:ind w:left="0"/>
              <w:jc w:val="center"/>
              <w:rPr>
                <w:rFonts w:ascii="Calibri" w:hAnsi="Calibri" w:cs="Calibri"/>
                <w:sz w:val="22"/>
                <w:lang w:val="de-DE"/>
              </w:rPr>
            </w:pPr>
            <w:r w:rsidRPr="0092627D">
              <w:rPr>
                <w:rFonts w:ascii="Calibri" w:hAnsi="Calibri"/>
                <w:sz w:val="22"/>
                <w:lang w:val="de-DE"/>
              </w:rPr>
              <w:t>Anteil des Kalendermonats mit einer Wirksamkeitsrate gegen Spams von unter 99 %</w:t>
            </w:r>
          </w:p>
        </w:tc>
        <w:tc>
          <w:tcPr>
            <w:tcW w:w="3644" w:type="dxa"/>
            <w:shd w:val="clear" w:color="auto" w:fill="D9D9D9"/>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Dienstgutschrift</w:t>
            </w:r>
          </w:p>
        </w:tc>
      </w:tr>
      <w:tr w:rsidR="000D4A0B" w:rsidRPr="0092627D" w:rsidTr="007D7B02">
        <w:tc>
          <w:tcPr>
            <w:tcW w:w="3772"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&gt; 25 %</w:t>
            </w:r>
          </w:p>
        </w:tc>
        <w:tc>
          <w:tcPr>
            <w:tcW w:w="3644"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25 %</w:t>
            </w:r>
          </w:p>
        </w:tc>
      </w:tr>
      <w:tr w:rsidR="000D4A0B" w:rsidRPr="0092627D" w:rsidTr="007D7B02">
        <w:tc>
          <w:tcPr>
            <w:tcW w:w="3772"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&gt; 50 %</w:t>
            </w:r>
          </w:p>
        </w:tc>
        <w:tc>
          <w:tcPr>
            <w:tcW w:w="3644"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50 %</w:t>
            </w:r>
          </w:p>
        </w:tc>
      </w:tr>
      <w:tr w:rsidR="000D4A0B" w:rsidRPr="0092627D" w:rsidTr="007D7B02">
        <w:tc>
          <w:tcPr>
            <w:tcW w:w="3772"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100 %</w:t>
            </w:r>
          </w:p>
        </w:tc>
        <w:tc>
          <w:tcPr>
            <w:tcW w:w="3644"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100 %</w:t>
            </w:r>
          </w:p>
        </w:tc>
      </w:tr>
    </w:tbl>
    <w:p w:rsidR="000D4A0B" w:rsidRPr="00BD003D" w:rsidRDefault="000D4A0B" w:rsidP="007D7B02">
      <w:pPr>
        <w:pStyle w:val="ListParagraph"/>
        <w:ind w:left="2520"/>
        <w:rPr>
          <w:rFonts w:ascii="Calibri" w:hAnsi="Calibri" w:cs="Calibri"/>
          <w:sz w:val="12"/>
          <w:szCs w:val="22"/>
        </w:rPr>
      </w:pPr>
    </w:p>
    <w:p w:rsidR="000D4A0B" w:rsidRPr="00BD003D" w:rsidRDefault="000D4A0B" w:rsidP="007D7B02">
      <w:pPr>
        <w:pStyle w:val="ListParagraph"/>
        <w:ind w:left="2520"/>
        <w:rPr>
          <w:rFonts w:ascii="Calibri" w:hAnsi="Calibri" w:cs="Calibri"/>
          <w:sz w:val="12"/>
          <w:szCs w:val="22"/>
        </w:rPr>
      </w:pPr>
    </w:p>
    <w:p w:rsidR="000D4A0B" w:rsidRPr="0092627D" w:rsidRDefault="000D4A0B" w:rsidP="00FC5E2D">
      <w:pPr>
        <w:pStyle w:val="ListParagraph"/>
        <w:keepNext/>
        <w:numPr>
          <w:ilvl w:val="0"/>
          <w:numId w:val="13"/>
        </w:numPr>
        <w:suppressAutoHyphens w:val="0"/>
        <w:autoSpaceDN/>
        <w:spacing w:after="200"/>
        <w:textAlignment w:val="auto"/>
        <w:rPr>
          <w:rFonts w:ascii="Calibri" w:hAnsi="Calibri"/>
          <w:lang w:val="de-DE"/>
        </w:rPr>
      </w:pPr>
      <w:r w:rsidRPr="0092627D">
        <w:rPr>
          <w:rFonts w:ascii="Calibri" w:hAnsi="Calibri"/>
          <w:sz w:val="22"/>
          <w:lang w:val="de-DE"/>
        </w:rPr>
        <w:t>Servicelevel „Falsch positiv“</w:t>
      </w:r>
    </w:p>
    <w:p w:rsidR="000D4A0B" w:rsidRPr="0092627D" w:rsidRDefault="000D4A0B" w:rsidP="00FC5E2D">
      <w:pPr>
        <w:pStyle w:val="ListParagraph"/>
        <w:numPr>
          <w:ilvl w:val="3"/>
          <w:numId w:val="13"/>
        </w:numPr>
        <w:suppressAutoHyphens w:val="0"/>
        <w:autoSpaceDN/>
        <w:spacing w:after="200"/>
        <w:textAlignment w:val="auto"/>
        <w:rPr>
          <w:rFonts w:ascii="Calibri" w:hAnsi="Calibri"/>
          <w:lang w:val="de-DE"/>
        </w:rPr>
      </w:pPr>
      <w:r w:rsidRPr="0092627D">
        <w:rPr>
          <w:rFonts w:ascii="Calibri" w:hAnsi="Calibri"/>
          <w:sz w:val="22"/>
          <w:lang w:val="de-DE"/>
        </w:rPr>
        <w:t>„Falsch positiv" ist definiert als der Anteil seriöser geschäftlicher Mails, die fälschlicherweise vom Filtersystem als Spam eingestuft wurden, bezogen auf alle E-Mails, die der Dienst innerhalb eines Kalendermonats verarbeitet.</w:t>
      </w:r>
    </w:p>
    <w:p w:rsidR="000D4A0B" w:rsidRPr="0092627D" w:rsidRDefault="000D4A0B" w:rsidP="00FC5E2D">
      <w:pPr>
        <w:pStyle w:val="ListParagraph"/>
        <w:numPr>
          <w:ilvl w:val="3"/>
          <w:numId w:val="13"/>
        </w:numPr>
        <w:suppressAutoHyphens w:val="0"/>
        <w:autoSpaceDN/>
        <w:spacing w:after="200"/>
        <w:textAlignment w:val="auto"/>
        <w:rPr>
          <w:rFonts w:ascii="Calibri" w:hAnsi="Calibri"/>
          <w:lang w:val="de-DE"/>
        </w:rPr>
      </w:pPr>
      <w:r w:rsidRPr="0092627D">
        <w:rPr>
          <w:rFonts w:ascii="Calibri" w:hAnsi="Calibri"/>
          <w:sz w:val="22"/>
          <w:lang w:val="de-DE"/>
        </w:rPr>
        <w:t>Die vollständigen ursprünglichen Nachrichten, einschließlich aller Nachrichtenköpfe, müssen dem für E-Mail-Missbrauch zuständigen Abuse-Team angezeigt werden.</w:t>
      </w:r>
    </w:p>
    <w:p w:rsidR="000D4A0B" w:rsidRPr="0092627D" w:rsidRDefault="000D4A0B" w:rsidP="00FC5E2D">
      <w:pPr>
        <w:pStyle w:val="ListParagraph"/>
        <w:numPr>
          <w:ilvl w:val="3"/>
          <w:numId w:val="13"/>
        </w:numPr>
        <w:suppressAutoHyphens w:val="0"/>
        <w:autoSpaceDN/>
        <w:spacing w:after="200"/>
        <w:textAlignment w:val="auto"/>
        <w:rPr>
          <w:rFonts w:ascii="Calibri" w:hAnsi="Calibri"/>
          <w:lang w:val="de-DE"/>
        </w:rPr>
      </w:pPr>
      <w:r w:rsidRPr="0092627D">
        <w:rPr>
          <w:rFonts w:ascii="Calibri" w:hAnsi="Calibri"/>
          <w:sz w:val="22"/>
          <w:lang w:val="de-DE"/>
        </w:rPr>
        <w:t>Gilt nur für E-Mails, die an gültige Postfächer gesendet werden.</w:t>
      </w:r>
    </w:p>
    <w:p w:rsidR="000D4A0B" w:rsidRPr="0092627D" w:rsidRDefault="000D4A0B" w:rsidP="00FC5E2D">
      <w:pPr>
        <w:pStyle w:val="ListParagraph"/>
        <w:numPr>
          <w:ilvl w:val="3"/>
          <w:numId w:val="13"/>
        </w:numPr>
        <w:suppressAutoHyphens w:val="0"/>
        <w:autoSpaceDN/>
        <w:spacing w:after="200"/>
        <w:textAlignment w:val="auto"/>
        <w:rPr>
          <w:rFonts w:ascii="Calibri" w:hAnsi="Calibri"/>
          <w:lang w:val="de-DE"/>
        </w:rPr>
      </w:pPr>
      <w:r w:rsidRPr="0092627D">
        <w:rPr>
          <w:rFonts w:ascii="Calibri" w:hAnsi="Calibri"/>
          <w:sz w:val="22"/>
          <w:lang w:val="de-DE"/>
        </w:rPr>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rsidR="000D4A0B" w:rsidRPr="0092627D" w:rsidRDefault="000D4A0B" w:rsidP="00FC5E2D">
      <w:pPr>
        <w:pStyle w:val="ListParagraph"/>
        <w:numPr>
          <w:ilvl w:val="3"/>
          <w:numId w:val="13"/>
        </w:numPr>
        <w:suppressAutoHyphens w:val="0"/>
        <w:autoSpaceDN/>
        <w:spacing w:after="200"/>
        <w:textAlignment w:val="auto"/>
        <w:rPr>
          <w:rFonts w:ascii="Calibri" w:hAnsi="Calibri"/>
          <w:lang w:val="de-DE"/>
        </w:rPr>
      </w:pPr>
      <w:r w:rsidRPr="0092627D">
        <w:rPr>
          <w:rFonts w:ascii="Calibri" w:hAnsi="Calibri"/>
          <w:sz w:val="22"/>
          <w:lang w:val="de-DE"/>
        </w:rPr>
        <w:t>In folgenden Fällen gilt der Servicelevel „Falsch positiv“ nicht:</w:t>
      </w:r>
    </w:p>
    <w:p w:rsidR="000D4A0B" w:rsidRPr="0092627D" w:rsidRDefault="000D4A0B" w:rsidP="00FC5E2D">
      <w:pPr>
        <w:pStyle w:val="ListParagraph"/>
        <w:numPr>
          <w:ilvl w:val="4"/>
          <w:numId w:val="13"/>
        </w:numPr>
        <w:suppressAutoHyphens w:val="0"/>
        <w:autoSpaceDN/>
        <w:spacing w:after="200"/>
        <w:ind w:left="2520"/>
        <w:textAlignment w:val="auto"/>
        <w:rPr>
          <w:rFonts w:ascii="Calibri" w:hAnsi="Calibri"/>
          <w:lang w:val="de-DE"/>
        </w:rPr>
      </w:pPr>
      <w:r w:rsidRPr="0092627D">
        <w:rPr>
          <w:rFonts w:ascii="Calibri" w:hAnsi="Calibri"/>
          <w:sz w:val="22"/>
          <w:lang w:val="de-DE"/>
        </w:rPr>
        <w:t>Massen-E-Mails, persönliche E-Mails und E-Mails mit pornografischem Inhalt</w:t>
      </w:r>
    </w:p>
    <w:p w:rsidR="000D4A0B" w:rsidRPr="0092627D" w:rsidRDefault="000D4A0B" w:rsidP="00FC5E2D">
      <w:pPr>
        <w:pStyle w:val="ListParagraph"/>
        <w:numPr>
          <w:ilvl w:val="4"/>
          <w:numId w:val="13"/>
        </w:numPr>
        <w:suppressAutoHyphens w:val="0"/>
        <w:autoSpaceDN/>
        <w:spacing w:after="200"/>
        <w:ind w:left="2520"/>
        <w:textAlignment w:val="auto"/>
        <w:rPr>
          <w:rFonts w:ascii="Calibri" w:hAnsi="Calibri"/>
          <w:lang w:val="de-DE"/>
        </w:rPr>
      </w:pPr>
      <w:r w:rsidRPr="0092627D">
        <w:rPr>
          <w:rFonts w:ascii="Calibri" w:hAnsi="Calibri"/>
          <w:sz w:val="22"/>
          <w:lang w:val="de-DE"/>
        </w:rPr>
        <w:t>E-Mails mit überwiegend nicht-englischsprachigem Inhalt</w:t>
      </w:r>
    </w:p>
    <w:p w:rsidR="000D4A0B" w:rsidRPr="0092627D" w:rsidRDefault="000D4A0B" w:rsidP="00FC5E2D">
      <w:pPr>
        <w:pStyle w:val="ListParagraph"/>
        <w:numPr>
          <w:ilvl w:val="4"/>
          <w:numId w:val="13"/>
        </w:numPr>
        <w:suppressAutoHyphens w:val="0"/>
        <w:autoSpaceDN/>
        <w:spacing w:after="200"/>
        <w:ind w:left="2520"/>
        <w:textAlignment w:val="auto"/>
        <w:rPr>
          <w:rFonts w:ascii="Calibri" w:hAnsi="Calibri"/>
          <w:lang w:val="de-DE"/>
        </w:rPr>
      </w:pPr>
      <w:r w:rsidRPr="0092627D">
        <w:rPr>
          <w:rFonts w:ascii="Calibri" w:hAnsi="Calibri"/>
          <w:sz w:val="22"/>
          <w:lang w:val="de-DE"/>
        </w:rPr>
        <w:t>E-Mails, die von einer Richtlinienregel, Reputationsfiltern oder einem Filter für SMTP-Verbindungen blockiert wurden</w:t>
      </w:r>
    </w:p>
    <w:p w:rsidR="000D4A0B" w:rsidRPr="004A385A" w:rsidRDefault="000D4A0B" w:rsidP="004A385A">
      <w:pPr>
        <w:pStyle w:val="ListParagraph"/>
        <w:numPr>
          <w:ilvl w:val="4"/>
          <w:numId w:val="13"/>
        </w:numPr>
        <w:suppressAutoHyphens w:val="0"/>
        <w:autoSpaceDN/>
        <w:spacing w:after="200"/>
        <w:ind w:left="2520"/>
        <w:textAlignment w:val="auto"/>
        <w:rPr>
          <w:rFonts w:ascii="Calibri" w:hAnsi="Calibri"/>
          <w:lang w:val="de-DE"/>
        </w:rPr>
      </w:pPr>
      <w:r w:rsidRPr="0092627D">
        <w:rPr>
          <w:rFonts w:ascii="Calibri" w:hAnsi="Calibri"/>
          <w:sz w:val="22"/>
          <w:lang w:val="de-DE"/>
        </w:rPr>
        <w:t>E-Mails, die an den Spam-Ordner zugestellt wurden</w:t>
      </w:r>
      <w:r w:rsidRPr="004A385A">
        <w:rPr>
          <w:rFonts w:ascii="Calibri" w:hAnsi="Calibri" w:cs="Calibri"/>
          <w:sz w:val="22"/>
          <w:szCs w:val="22"/>
          <w:lang w:val="de-DE"/>
        </w:rPr>
        <w:br w:type="page"/>
      </w:r>
    </w:p>
    <w:p w:rsidR="000D4A0B" w:rsidRPr="0092627D" w:rsidRDefault="000D4A0B" w:rsidP="00FC5E2D">
      <w:pPr>
        <w:pStyle w:val="ListParagraph"/>
        <w:numPr>
          <w:ilvl w:val="3"/>
          <w:numId w:val="13"/>
        </w:numPr>
        <w:suppressAutoHyphens w:val="0"/>
        <w:autoSpaceDN/>
        <w:spacing w:after="200"/>
        <w:textAlignment w:val="auto"/>
        <w:rPr>
          <w:rFonts w:ascii="Calibri" w:hAnsi="Calibri"/>
          <w:lang w:val="de-DE"/>
        </w:rPr>
      </w:pPr>
      <w:r w:rsidRPr="0092627D">
        <w:rPr>
          <w:rFonts w:ascii="Calibri" w:hAnsi="Calibri"/>
          <w:sz w:val="22"/>
          <w:lang w:val="de-DE"/>
        </w:rPr>
        <w:lastRenderedPageBreak/>
        <w:t>Die verfügbare Dienstgutschrift für den Dienst „Falsch positiv“ beträgt:</w:t>
      </w:r>
    </w:p>
    <w:p w:rsidR="000D4A0B" w:rsidRPr="00BC187C" w:rsidRDefault="000D4A0B" w:rsidP="007D7B02">
      <w:pPr>
        <w:pStyle w:val="ListParagraph"/>
        <w:suppressAutoHyphens w:val="0"/>
        <w:autoSpaceDN/>
        <w:spacing w:after="200"/>
        <w:ind w:left="1980"/>
        <w:textAlignment w:val="auto"/>
        <w:rPr>
          <w:rFonts w:ascii="Calibri" w:hAnsi="Calibri" w:cs="Calibri"/>
          <w:sz w:val="12"/>
          <w:szCs w:val="1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0D4A0B" w:rsidRPr="0092627D" w:rsidTr="007D7B02">
        <w:tc>
          <w:tcPr>
            <w:tcW w:w="3755" w:type="dxa"/>
            <w:shd w:val="clear" w:color="auto" w:fill="D9D9D9"/>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Anteil falsch positiver Nachrichten in einem Kalendermonat</w:t>
            </w:r>
          </w:p>
        </w:tc>
        <w:tc>
          <w:tcPr>
            <w:tcW w:w="3661" w:type="dxa"/>
            <w:shd w:val="clear" w:color="auto" w:fill="D9D9D9"/>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Dienstgutschrift</w:t>
            </w:r>
          </w:p>
        </w:tc>
      </w:tr>
      <w:tr w:rsidR="000D4A0B" w:rsidRPr="0092627D" w:rsidTr="007D7B02">
        <w:tc>
          <w:tcPr>
            <w:tcW w:w="3755"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&gt; 1:250.000</w:t>
            </w:r>
          </w:p>
        </w:tc>
        <w:tc>
          <w:tcPr>
            <w:tcW w:w="3661"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25 %</w:t>
            </w:r>
          </w:p>
        </w:tc>
      </w:tr>
      <w:tr w:rsidR="000D4A0B" w:rsidRPr="0092627D" w:rsidTr="007D7B02">
        <w:tc>
          <w:tcPr>
            <w:tcW w:w="3755"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&gt; 1:10.000</w:t>
            </w:r>
          </w:p>
        </w:tc>
        <w:tc>
          <w:tcPr>
            <w:tcW w:w="3661"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50 %</w:t>
            </w:r>
          </w:p>
        </w:tc>
      </w:tr>
      <w:tr w:rsidR="000D4A0B" w:rsidRPr="0092627D" w:rsidTr="007D7B02">
        <w:tc>
          <w:tcPr>
            <w:tcW w:w="3755"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&gt; 1:100</w:t>
            </w:r>
          </w:p>
        </w:tc>
        <w:tc>
          <w:tcPr>
            <w:tcW w:w="3661" w:type="dxa"/>
          </w:tcPr>
          <w:p w:rsidR="000D4A0B" w:rsidRPr="0092627D" w:rsidRDefault="000D4A0B" w:rsidP="00627D84">
            <w:pPr>
              <w:pStyle w:val="ListParagraph"/>
              <w:ind w:left="0"/>
              <w:jc w:val="center"/>
              <w:rPr>
                <w:rFonts w:ascii="Calibri" w:hAnsi="Calibri" w:cs="Calibri"/>
                <w:sz w:val="22"/>
                <w:lang w:val="de-DE"/>
              </w:rPr>
            </w:pPr>
            <w:r w:rsidRPr="0092627D">
              <w:rPr>
                <w:rFonts w:ascii="Calibri" w:hAnsi="Calibri" w:cs="Calibri"/>
                <w:sz w:val="22"/>
                <w:szCs w:val="22"/>
                <w:lang w:val="de-DE"/>
              </w:rPr>
              <w:t>100 %</w:t>
            </w:r>
          </w:p>
        </w:tc>
      </w:tr>
    </w:tbl>
    <w:p w:rsidR="000D4A0B" w:rsidRPr="00590125" w:rsidRDefault="000D4A0B" w:rsidP="00FC5E2D">
      <w:pPr>
        <w:rPr>
          <w:rFonts w:ascii="Calibri" w:hAnsi="Calibri" w:cs="Calibri"/>
          <w:b/>
          <w:sz w:val="12"/>
          <w:szCs w:val="22"/>
        </w:rPr>
      </w:pPr>
    </w:p>
    <w:p w:rsidR="000D4A0B" w:rsidRPr="00590125" w:rsidRDefault="000D4A0B" w:rsidP="00FC5E2D">
      <w:pPr>
        <w:rPr>
          <w:rFonts w:ascii="Calibri" w:hAnsi="Calibri" w:cs="Calibri"/>
          <w:b/>
          <w:sz w:val="12"/>
          <w:szCs w:val="22"/>
        </w:rPr>
      </w:pPr>
    </w:p>
    <w:p w:rsidR="000D4A0B" w:rsidRPr="0092627D" w:rsidRDefault="000D4A0B" w:rsidP="00FC5E2D">
      <w:pPr>
        <w:pStyle w:val="ListParagraph"/>
        <w:keepNext/>
        <w:numPr>
          <w:ilvl w:val="0"/>
          <w:numId w:val="15"/>
        </w:numPr>
        <w:rPr>
          <w:rFonts w:ascii="Calibri" w:hAnsi="Calibri"/>
          <w:lang w:val="de-DE"/>
        </w:rPr>
      </w:pPr>
      <w:r w:rsidRPr="0092627D">
        <w:rPr>
          <w:rFonts w:ascii="Calibri" w:hAnsi="Calibri"/>
          <w:b/>
          <w:sz w:val="22"/>
          <w:lang w:val="de-DE"/>
        </w:rPr>
        <w:t>Für Exchange Online-Archivierung (EOA) und Exchange Online Protection (EOP):</w:t>
      </w:r>
    </w:p>
    <w:p w:rsidR="000D4A0B" w:rsidRPr="00BC187C" w:rsidRDefault="000D4A0B" w:rsidP="00FC5E2D">
      <w:pPr>
        <w:keepNext/>
        <w:rPr>
          <w:rFonts w:asciiTheme="minorHAnsi" w:hAnsiTheme="minorHAnsi" w:cstheme="minorHAnsi"/>
          <w:b/>
          <w:sz w:val="22"/>
          <w:szCs w:val="22"/>
          <w:lang w:val="de-DE"/>
        </w:rPr>
      </w:pPr>
    </w:p>
    <w:p w:rsidR="000D4A0B" w:rsidRPr="0092627D" w:rsidRDefault="000D4A0B" w:rsidP="001377B8">
      <w:pPr>
        <w:suppressAutoHyphens w:val="0"/>
        <w:autoSpaceDN/>
        <w:ind w:left="720"/>
        <w:textAlignment w:val="auto"/>
        <w:rPr>
          <w:rFonts w:ascii="Calibri" w:hAnsi="Calibri"/>
          <w:lang w:val="de-DE"/>
        </w:rPr>
      </w:pPr>
      <w:r w:rsidRPr="0092627D">
        <w:rPr>
          <w:rFonts w:ascii="Calibri" w:hAnsi="Calibri"/>
          <w:color w:val="000000"/>
          <w:sz w:val="22"/>
          <w:lang w:val="de-DE"/>
        </w:rPr>
        <w:t>Diese SLA gilt nicht für den Erwerb der Enterprise CAL Suite über Open Value und Open Value Subscription-Lizenzverträge.</w:t>
      </w:r>
    </w:p>
    <w:p w:rsidR="000D4A0B" w:rsidRPr="00BC187C" w:rsidRDefault="000D4A0B" w:rsidP="00FC5E2D">
      <w:pPr>
        <w:pStyle w:val="ListParagraph"/>
        <w:rPr>
          <w:rFonts w:asciiTheme="minorHAnsi" w:hAnsiTheme="minorHAnsi" w:cstheme="minorHAnsi"/>
          <w:b/>
          <w:sz w:val="22"/>
          <w:szCs w:val="22"/>
          <w:lang w:val="de-DE"/>
        </w:rPr>
      </w:pPr>
    </w:p>
    <w:p w:rsidR="000D4A0B" w:rsidRPr="0092627D" w:rsidRDefault="000D4A0B" w:rsidP="00FC5E2D">
      <w:pPr>
        <w:pStyle w:val="ListParagraph"/>
        <w:keepNext/>
        <w:numPr>
          <w:ilvl w:val="0"/>
          <w:numId w:val="15"/>
        </w:numPr>
        <w:rPr>
          <w:rFonts w:ascii="Calibri" w:hAnsi="Calibri"/>
          <w:lang w:val="de-DE"/>
        </w:rPr>
      </w:pPr>
      <w:r w:rsidRPr="0092627D">
        <w:rPr>
          <w:rFonts w:ascii="Calibri" w:hAnsi="Calibri"/>
          <w:b/>
          <w:sz w:val="22"/>
          <w:lang w:val="de-DE"/>
        </w:rPr>
        <w:t>Für Exchange Online Protection (EOP):</w:t>
      </w:r>
    </w:p>
    <w:p w:rsidR="000D4A0B" w:rsidRPr="00BD773A" w:rsidRDefault="000D4A0B" w:rsidP="00FC5E2D">
      <w:pPr>
        <w:pStyle w:val="ListParagraph"/>
        <w:keepNext/>
        <w:rPr>
          <w:rFonts w:asciiTheme="minorHAnsi" w:hAnsiTheme="minorHAnsi" w:cstheme="minorHAnsi"/>
          <w:sz w:val="22"/>
          <w:szCs w:val="22"/>
        </w:rPr>
      </w:pPr>
    </w:p>
    <w:p w:rsidR="000D4A0B" w:rsidRPr="0092627D" w:rsidRDefault="000D4A0B" w:rsidP="00482A1C">
      <w:pPr>
        <w:pStyle w:val="ListParagraph"/>
        <w:rPr>
          <w:rFonts w:ascii="Calibri" w:hAnsi="Calibri"/>
          <w:lang w:val="de-DE"/>
        </w:rPr>
      </w:pPr>
      <w:r w:rsidRPr="0092627D">
        <w:rPr>
          <w:rFonts w:ascii="Calibri" w:hAnsi="Calibri"/>
          <w:sz w:val="22"/>
          <w:lang w:val="de-DE"/>
        </w:rPr>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r w:rsidR="004C636B">
        <w:rPr>
          <w:rFonts w:ascii="Calibri" w:hAnsi="Calibri"/>
          <w:lang w:val="de-DE"/>
        </w:rPr>
        <w:t xml:space="preserve"> </w:t>
      </w:r>
    </w:p>
    <w:p w:rsidR="000D4A0B" w:rsidRPr="00BC187C" w:rsidRDefault="000D4A0B" w:rsidP="007D7B02">
      <w:pPr>
        <w:ind w:left="360"/>
        <w:rPr>
          <w:rFonts w:ascii="Calibri" w:hAnsi="Calibri" w:cs="Calibri"/>
          <w:sz w:val="22"/>
          <w:szCs w:val="22"/>
          <w:lang w:val="de-DE"/>
        </w:rPr>
      </w:pPr>
    </w:p>
    <w:p w:rsidR="000D4A0B" w:rsidRPr="0092627D" w:rsidRDefault="000D4A0B" w:rsidP="00DC7CA4">
      <w:pPr>
        <w:pStyle w:val="ListParagraph"/>
        <w:numPr>
          <w:ilvl w:val="0"/>
          <w:numId w:val="22"/>
        </w:numPr>
        <w:tabs>
          <w:tab w:val="left" w:pos="1080"/>
        </w:tabs>
        <w:suppressAutoHyphens w:val="0"/>
        <w:autoSpaceDN/>
        <w:spacing w:after="200"/>
        <w:ind w:left="1080"/>
        <w:textAlignment w:val="auto"/>
        <w:rPr>
          <w:rFonts w:ascii="Calibri" w:hAnsi="Calibri"/>
          <w:lang w:val="de-DE"/>
        </w:rPr>
      </w:pPr>
      <w:r w:rsidRPr="0092627D">
        <w:rPr>
          <w:rFonts w:ascii="Calibri" w:hAnsi="Calibri"/>
          <w:sz w:val="22"/>
          <w:lang w:val="de-DE"/>
        </w:rPr>
        <w:t>Prozentsatz der monatlichen Betriebszeit:</w:t>
      </w:r>
    </w:p>
    <w:p w:rsidR="000D4A0B" w:rsidRPr="00576084" w:rsidRDefault="000D4A0B" w:rsidP="007D7B02">
      <w:pPr>
        <w:pStyle w:val="ListParagraph"/>
        <w:tabs>
          <w:tab w:val="left" w:pos="-90"/>
          <w:tab w:val="left" w:pos="90"/>
          <w:tab w:val="left" w:pos="270"/>
        </w:tabs>
        <w:ind w:left="1080"/>
        <w:jc w:val="both"/>
        <w:rPr>
          <w:rFonts w:ascii="Calibri" w:hAnsi="Calibri" w:cs="Calibri"/>
          <w:sz w:val="22"/>
          <w:szCs w:val="22"/>
        </w:rPr>
      </w:pPr>
    </w:p>
    <w:p w:rsidR="000D4A0B" w:rsidRPr="0092627D" w:rsidRDefault="000D4A0B" w:rsidP="001E2FF4">
      <w:pPr>
        <w:pStyle w:val="ListParagraph"/>
        <w:tabs>
          <w:tab w:val="left" w:pos="-90"/>
          <w:tab w:val="left" w:pos="90"/>
          <w:tab w:val="left" w:pos="270"/>
        </w:tabs>
        <w:ind w:left="1080"/>
        <w:jc w:val="both"/>
        <w:rPr>
          <w:rFonts w:ascii="Calibri" w:hAnsi="Calibri"/>
          <w:lang w:val="de-DE"/>
        </w:rPr>
      </w:pPr>
      <w:r w:rsidRPr="0092627D">
        <w:rPr>
          <w:rFonts w:ascii="Calibri" w:hAnsi="Calibri"/>
          <w:sz w:val="22"/>
          <w:lang w:val="de-DE"/>
        </w:rPr>
        <w:t>Wenn der Prozentsatz der monatlichen Betriebszeit für EOP in einem bestimmten Monat unter 99</w:t>
      </w:r>
      <w:r w:rsidR="001E2FF4">
        <w:rPr>
          <w:rFonts w:ascii="Calibri" w:hAnsi="Calibri"/>
          <w:sz w:val="22"/>
          <w:lang w:val="de-DE"/>
        </w:rPr>
        <w:t>,</w:t>
      </w:r>
      <w:r w:rsidRPr="0092627D">
        <w:rPr>
          <w:rFonts w:ascii="Calibri" w:hAnsi="Calibri"/>
          <w:sz w:val="22"/>
          <w:lang w:val="de-DE"/>
        </w:rPr>
        <w:t>999 % fällt, sind Sie womöglich zu folgender Dienstgutschrift berechtigt:</w:t>
      </w:r>
    </w:p>
    <w:p w:rsidR="000D4A0B" w:rsidRPr="00BC187C" w:rsidRDefault="000D4A0B" w:rsidP="001A21F4">
      <w:pPr>
        <w:pStyle w:val="ListParagraph"/>
        <w:tabs>
          <w:tab w:val="left" w:pos="-90"/>
          <w:tab w:val="left" w:pos="0"/>
          <w:tab w:val="left" w:pos="270"/>
        </w:tabs>
        <w:ind w:left="360"/>
        <w:jc w:val="both"/>
        <w:rPr>
          <w:rFonts w:ascii="Calibri" w:hAnsi="Calibri" w:cs="Calibri"/>
          <w:sz w:val="12"/>
          <w:szCs w:val="22"/>
          <w:lang w:val="de-DE"/>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5"/>
        <w:gridCol w:w="3641"/>
      </w:tblGrid>
      <w:tr w:rsidR="000D4A0B" w:rsidRPr="0092627D" w:rsidTr="007D7B02">
        <w:tc>
          <w:tcPr>
            <w:tcW w:w="3761" w:type="dxa"/>
            <w:shd w:val="clear" w:color="auto" w:fill="D9D9D9"/>
          </w:tcPr>
          <w:p w:rsidR="000D4A0B" w:rsidRPr="0092627D" w:rsidRDefault="000D4A0B" w:rsidP="00845B16">
            <w:pPr>
              <w:pStyle w:val="ListParagraph"/>
              <w:ind w:left="0"/>
              <w:jc w:val="center"/>
              <w:rPr>
                <w:rFonts w:ascii="Calibri" w:hAnsi="Calibri" w:cs="Calibri"/>
                <w:sz w:val="22"/>
                <w:lang w:val="de-DE"/>
              </w:rPr>
            </w:pPr>
            <w:r w:rsidRPr="0092627D">
              <w:rPr>
                <w:rFonts w:ascii="Calibri" w:hAnsi="Calibri" w:cs="Calibri"/>
                <w:sz w:val="22"/>
                <w:szCs w:val="22"/>
                <w:lang w:val="de-DE"/>
              </w:rPr>
              <w:t>Prozentsatz der monatlichen Betriebszeit</w:t>
            </w:r>
          </w:p>
        </w:tc>
        <w:tc>
          <w:tcPr>
            <w:tcW w:w="3655" w:type="dxa"/>
            <w:shd w:val="clear" w:color="auto" w:fill="D9D9D9"/>
          </w:tcPr>
          <w:p w:rsidR="000D4A0B" w:rsidRPr="0092627D" w:rsidRDefault="000D4A0B" w:rsidP="00845B16">
            <w:pPr>
              <w:pStyle w:val="ListParagraph"/>
              <w:ind w:left="0"/>
              <w:jc w:val="center"/>
              <w:rPr>
                <w:rFonts w:ascii="Calibri" w:hAnsi="Calibri" w:cs="Calibri"/>
                <w:sz w:val="22"/>
                <w:lang w:val="de-DE"/>
              </w:rPr>
            </w:pPr>
            <w:r w:rsidRPr="0092627D">
              <w:rPr>
                <w:rFonts w:ascii="Calibri" w:hAnsi="Calibri" w:cs="Calibri"/>
                <w:sz w:val="22"/>
                <w:szCs w:val="22"/>
                <w:lang w:val="de-DE"/>
              </w:rPr>
              <w:t>Dienstgutschrift</w:t>
            </w:r>
          </w:p>
        </w:tc>
      </w:tr>
      <w:tr w:rsidR="000D4A0B" w:rsidRPr="0092627D" w:rsidTr="007D7B02">
        <w:tc>
          <w:tcPr>
            <w:tcW w:w="3761" w:type="dxa"/>
          </w:tcPr>
          <w:p w:rsidR="000D4A0B" w:rsidRPr="0092627D" w:rsidRDefault="000D4A0B" w:rsidP="00CD3F75">
            <w:pPr>
              <w:pStyle w:val="ListParagraph"/>
              <w:ind w:left="0"/>
              <w:jc w:val="center"/>
              <w:rPr>
                <w:rFonts w:ascii="Calibri" w:hAnsi="Calibri" w:cs="Calibri"/>
                <w:sz w:val="22"/>
                <w:lang w:val="de-DE"/>
              </w:rPr>
            </w:pPr>
            <w:r w:rsidRPr="0092627D">
              <w:rPr>
                <w:rFonts w:ascii="Calibri" w:hAnsi="Calibri" w:cs="Calibri"/>
                <w:sz w:val="22"/>
                <w:szCs w:val="22"/>
                <w:lang w:val="de-DE"/>
              </w:rPr>
              <w:t>&lt;99</w:t>
            </w:r>
            <w:r w:rsidR="00CD3F75">
              <w:rPr>
                <w:rFonts w:ascii="Calibri" w:hAnsi="Calibri" w:cs="Calibri"/>
                <w:sz w:val="22"/>
                <w:szCs w:val="22"/>
                <w:lang w:val="de-DE"/>
              </w:rPr>
              <w:t>,</w:t>
            </w:r>
            <w:r w:rsidRPr="0092627D">
              <w:rPr>
                <w:rFonts w:ascii="Calibri" w:hAnsi="Calibri" w:cs="Calibri"/>
                <w:sz w:val="22"/>
                <w:szCs w:val="22"/>
                <w:lang w:val="de-DE"/>
              </w:rPr>
              <w:t>999 %</w:t>
            </w:r>
          </w:p>
        </w:tc>
        <w:tc>
          <w:tcPr>
            <w:tcW w:w="3655" w:type="dxa"/>
          </w:tcPr>
          <w:p w:rsidR="000D4A0B" w:rsidRPr="0092627D" w:rsidRDefault="000D4A0B" w:rsidP="00845B16">
            <w:pPr>
              <w:pStyle w:val="ListParagraph"/>
              <w:ind w:left="0"/>
              <w:jc w:val="center"/>
              <w:rPr>
                <w:rFonts w:ascii="Calibri" w:hAnsi="Calibri" w:cs="Calibri"/>
                <w:sz w:val="22"/>
                <w:lang w:val="de-DE"/>
              </w:rPr>
            </w:pPr>
            <w:r w:rsidRPr="0092627D">
              <w:rPr>
                <w:rFonts w:ascii="Calibri" w:hAnsi="Calibri" w:cs="Calibri"/>
                <w:sz w:val="22"/>
                <w:szCs w:val="22"/>
                <w:lang w:val="de-DE"/>
              </w:rPr>
              <w:t>25 %</w:t>
            </w:r>
          </w:p>
        </w:tc>
      </w:tr>
      <w:tr w:rsidR="000D4A0B" w:rsidRPr="0092627D" w:rsidTr="007D7B02">
        <w:tc>
          <w:tcPr>
            <w:tcW w:w="3761" w:type="dxa"/>
          </w:tcPr>
          <w:p w:rsidR="000D4A0B" w:rsidRPr="0092627D" w:rsidRDefault="000D4A0B" w:rsidP="00845B16">
            <w:pPr>
              <w:pStyle w:val="ListParagraph"/>
              <w:ind w:left="0"/>
              <w:jc w:val="center"/>
              <w:rPr>
                <w:rFonts w:ascii="Calibri" w:hAnsi="Calibri" w:cs="Calibri"/>
                <w:sz w:val="22"/>
                <w:lang w:val="de-DE"/>
              </w:rPr>
            </w:pPr>
            <w:r w:rsidRPr="0092627D">
              <w:rPr>
                <w:rFonts w:ascii="Calibri" w:hAnsi="Calibri" w:cs="Calibri"/>
                <w:sz w:val="22"/>
                <w:szCs w:val="22"/>
                <w:lang w:val="de-DE"/>
              </w:rPr>
              <w:t>&lt;99,0 %</w:t>
            </w:r>
          </w:p>
        </w:tc>
        <w:tc>
          <w:tcPr>
            <w:tcW w:w="3655" w:type="dxa"/>
          </w:tcPr>
          <w:p w:rsidR="000D4A0B" w:rsidRPr="0092627D" w:rsidRDefault="000D4A0B" w:rsidP="00845B16">
            <w:pPr>
              <w:pStyle w:val="ListParagraph"/>
              <w:ind w:left="0"/>
              <w:jc w:val="center"/>
              <w:rPr>
                <w:rFonts w:ascii="Calibri" w:hAnsi="Calibri" w:cs="Calibri"/>
                <w:sz w:val="22"/>
                <w:lang w:val="de-DE"/>
              </w:rPr>
            </w:pPr>
            <w:r w:rsidRPr="0092627D">
              <w:rPr>
                <w:rFonts w:ascii="Calibri" w:hAnsi="Calibri" w:cs="Calibri"/>
                <w:sz w:val="22"/>
                <w:szCs w:val="22"/>
                <w:lang w:val="de-DE"/>
              </w:rPr>
              <w:t>50 %</w:t>
            </w:r>
          </w:p>
        </w:tc>
      </w:tr>
      <w:tr w:rsidR="000D4A0B" w:rsidRPr="0092627D" w:rsidTr="007D7B02">
        <w:tc>
          <w:tcPr>
            <w:tcW w:w="3761" w:type="dxa"/>
          </w:tcPr>
          <w:p w:rsidR="000D4A0B" w:rsidRPr="0092627D" w:rsidRDefault="000D4A0B" w:rsidP="00845B16">
            <w:pPr>
              <w:pStyle w:val="ListParagraph"/>
              <w:ind w:left="0"/>
              <w:jc w:val="center"/>
              <w:rPr>
                <w:rFonts w:ascii="Calibri" w:hAnsi="Calibri" w:cs="Calibri"/>
                <w:sz w:val="22"/>
                <w:lang w:val="de-DE"/>
              </w:rPr>
            </w:pPr>
            <w:r w:rsidRPr="0092627D">
              <w:rPr>
                <w:rFonts w:ascii="Calibri" w:hAnsi="Calibri" w:cs="Calibri"/>
                <w:sz w:val="22"/>
                <w:szCs w:val="22"/>
                <w:lang w:val="de-DE"/>
              </w:rPr>
              <w:t>&lt;98,0 %</w:t>
            </w:r>
          </w:p>
        </w:tc>
        <w:tc>
          <w:tcPr>
            <w:tcW w:w="3655" w:type="dxa"/>
          </w:tcPr>
          <w:p w:rsidR="000D4A0B" w:rsidRPr="0092627D" w:rsidRDefault="000D4A0B" w:rsidP="00845B16">
            <w:pPr>
              <w:pStyle w:val="ListParagraph"/>
              <w:ind w:left="0"/>
              <w:jc w:val="center"/>
              <w:rPr>
                <w:rFonts w:ascii="Calibri" w:hAnsi="Calibri" w:cs="Calibri"/>
                <w:sz w:val="22"/>
                <w:lang w:val="de-DE"/>
              </w:rPr>
            </w:pPr>
            <w:r w:rsidRPr="0092627D">
              <w:rPr>
                <w:rFonts w:ascii="Calibri" w:hAnsi="Calibri" w:cs="Calibri"/>
                <w:sz w:val="22"/>
                <w:szCs w:val="22"/>
                <w:lang w:val="de-DE"/>
              </w:rPr>
              <w:t>100 %</w:t>
            </w:r>
          </w:p>
        </w:tc>
      </w:tr>
    </w:tbl>
    <w:p w:rsidR="000D4A0B" w:rsidRPr="00EA323F" w:rsidRDefault="000D4A0B" w:rsidP="003A587D">
      <w:pPr>
        <w:rPr>
          <w:rFonts w:ascii="Calibri" w:hAnsi="Calibri" w:cs="Calibri"/>
          <w:sz w:val="12"/>
          <w:szCs w:val="22"/>
        </w:rPr>
      </w:pPr>
    </w:p>
    <w:p w:rsidR="000D4A0B" w:rsidRPr="004A385A" w:rsidRDefault="000D4A0B" w:rsidP="00DC7CA4">
      <w:pPr>
        <w:pStyle w:val="ListParagraph"/>
        <w:keepNext/>
        <w:rPr>
          <w:rFonts w:ascii="Calibri" w:hAnsi="Calibri" w:cs="Calibri"/>
          <w:bCs/>
          <w:sz w:val="22"/>
          <w:szCs w:val="22"/>
        </w:rPr>
      </w:pPr>
    </w:p>
    <w:p w:rsidR="000D4A0B" w:rsidRPr="0092627D" w:rsidRDefault="000D4A0B" w:rsidP="00DC7CA4">
      <w:pPr>
        <w:pStyle w:val="ListParagraph"/>
        <w:keepNext/>
        <w:numPr>
          <w:ilvl w:val="0"/>
          <w:numId w:val="22"/>
        </w:numPr>
        <w:suppressAutoHyphens w:val="0"/>
        <w:autoSpaceDN/>
        <w:spacing w:after="200"/>
        <w:ind w:left="1080"/>
        <w:textAlignment w:val="auto"/>
        <w:rPr>
          <w:rFonts w:ascii="Calibri" w:hAnsi="Calibri"/>
          <w:lang w:val="de-DE"/>
        </w:rPr>
      </w:pPr>
      <w:r w:rsidRPr="0092627D">
        <w:rPr>
          <w:rFonts w:ascii="Calibri" w:hAnsi="Calibri"/>
          <w:sz w:val="22"/>
          <w:lang w:val="de-DE"/>
        </w:rPr>
        <w:t>Servicelevel „E-Mail-Zustellung“:</w:t>
      </w:r>
    </w:p>
    <w:p w:rsidR="000D4A0B" w:rsidRPr="004A385A" w:rsidRDefault="000D4A0B" w:rsidP="00DC7CA4">
      <w:pPr>
        <w:pStyle w:val="ListParagraph"/>
        <w:keepNext/>
        <w:suppressAutoHyphens w:val="0"/>
        <w:autoSpaceDN/>
        <w:spacing w:after="200"/>
        <w:ind w:left="1080"/>
        <w:textAlignment w:val="auto"/>
        <w:rPr>
          <w:rFonts w:ascii="Calibri" w:hAnsi="Calibri" w:cs="Calibri"/>
          <w:bCs/>
          <w:sz w:val="22"/>
          <w:szCs w:val="22"/>
        </w:rPr>
      </w:pPr>
    </w:p>
    <w:p w:rsidR="000D4A0B" w:rsidRPr="0092627D" w:rsidRDefault="000D4A0B" w:rsidP="006748C4">
      <w:pPr>
        <w:pStyle w:val="ListParagraph"/>
        <w:numPr>
          <w:ilvl w:val="0"/>
          <w:numId w:val="23"/>
        </w:numPr>
        <w:suppressAutoHyphens w:val="0"/>
        <w:autoSpaceDN/>
        <w:spacing w:after="200"/>
        <w:ind w:left="1440"/>
        <w:textAlignment w:val="auto"/>
        <w:rPr>
          <w:rFonts w:ascii="Calibri" w:hAnsi="Calibri"/>
          <w:lang w:val="de-DE"/>
        </w:rPr>
      </w:pPr>
      <w:r w:rsidRPr="0092627D">
        <w:rPr>
          <w:rFonts w:ascii="Calibri" w:hAnsi="Calibri"/>
          <w:sz w:val="22"/>
          <w:lang w:val="de-DE"/>
        </w:rPr>
        <w:t>„Für die E-Mail-Zustellung benötigte Zeit“ ist definiert als die durchschnittlich während eines Kalendermonats für die Zustellung von E-Mails benötigte Zeit, gemessen in Minuten, wobei mit E-Mail-Zustellung diejenige Zeit gemeint ist, die zwischen dem Eingang einer geschäftlichen E-Mail in das EOP-Netzwerk und dem ersten Zustellungsversuch vergeht.</w:t>
      </w:r>
    </w:p>
    <w:p w:rsidR="000D4A0B" w:rsidRPr="0092627D" w:rsidRDefault="000D4A0B" w:rsidP="006748C4">
      <w:pPr>
        <w:pStyle w:val="ListParagraph"/>
        <w:numPr>
          <w:ilvl w:val="0"/>
          <w:numId w:val="23"/>
        </w:numPr>
        <w:suppressAutoHyphens w:val="0"/>
        <w:autoSpaceDN/>
        <w:spacing w:after="200"/>
        <w:ind w:left="1440"/>
        <w:textAlignment w:val="auto"/>
        <w:rPr>
          <w:rFonts w:ascii="Calibri" w:hAnsi="Calibri"/>
          <w:lang w:val="de-DE"/>
        </w:rPr>
      </w:pPr>
      <w:r w:rsidRPr="0092627D">
        <w:rPr>
          <w:rFonts w:ascii="Calibri" w:hAnsi="Calibri" w:cs="Calibri"/>
          <w:sz w:val="22"/>
          <w:szCs w:val="22"/>
          <w:lang w:val="de-DE"/>
        </w:rPr>
        <w:t>Die für die E-Mail-Zustellung benötigte Zeit wird alle 5 Minuten gemessen und aufgezeichnet und anschließend nach der jeweils benötigten Zeit sortiert.</w:t>
      </w:r>
      <w:r w:rsidRPr="0092627D">
        <w:rPr>
          <w:rFonts w:ascii="Calibri" w:hAnsi="Calibri"/>
          <w:lang w:val="de-DE"/>
        </w:rPr>
        <w:t xml:space="preserve"> </w:t>
      </w:r>
      <w:r w:rsidRPr="0092627D">
        <w:rPr>
          <w:rFonts w:ascii="Calibri" w:hAnsi="Calibri"/>
          <w:sz w:val="22"/>
          <w:lang w:val="de-DE"/>
        </w:rPr>
        <w:t>Die schnellsten 95 % der gemessenen Zeiten werden zur Berechnung des Durchschnitts für den Kalendermonat herangezogen.</w:t>
      </w:r>
    </w:p>
    <w:p w:rsidR="000D4A0B" w:rsidRPr="0092627D" w:rsidRDefault="000D4A0B" w:rsidP="006748C4">
      <w:pPr>
        <w:pStyle w:val="ListParagraph"/>
        <w:numPr>
          <w:ilvl w:val="0"/>
          <w:numId w:val="23"/>
        </w:numPr>
        <w:suppressAutoHyphens w:val="0"/>
        <w:autoSpaceDN/>
        <w:spacing w:after="200"/>
        <w:ind w:left="1440"/>
        <w:textAlignment w:val="auto"/>
        <w:rPr>
          <w:rFonts w:ascii="Calibri" w:hAnsi="Calibri"/>
          <w:lang w:val="de-DE"/>
        </w:rPr>
      </w:pPr>
      <w:r w:rsidRPr="0092627D">
        <w:rPr>
          <w:rFonts w:ascii="Calibri" w:hAnsi="Calibri"/>
          <w:sz w:val="22"/>
          <w:lang w:val="de-DE"/>
        </w:rPr>
        <w:t>Wir verwenden simulierte oder Test-E-Mails, um die für die Zustellung benötigte Zeit zu messen.</w:t>
      </w:r>
    </w:p>
    <w:p w:rsidR="000D4A0B" w:rsidRPr="0092627D" w:rsidRDefault="000D4A0B" w:rsidP="004A385A">
      <w:pPr>
        <w:pStyle w:val="ListParagraph"/>
        <w:numPr>
          <w:ilvl w:val="0"/>
          <w:numId w:val="23"/>
        </w:numPr>
        <w:suppressAutoHyphens w:val="0"/>
        <w:autoSpaceDN/>
        <w:spacing w:after="200"/>
        <w:ind w:left="1440"/>
        <w:textAlignment w:val="auto"/>
        <w:rPr>
          <w:rFonts w:ascii="Calibri" w:hAnsi="Calibri"/>
          <w:lang w:val="de-DE"/>
        </w:rPr>
      </w:pPr>
      <w:r w:rsidRPr="0092627D">
        <w:rPr>
          <w:rFonts w:ascii="Calibri" w:hAnsi="Calibri"/>
          <w:sz w:val="22"/>
          <w:lang w:val="de-DE"/>
        </w:rPr>
        <w:t>Der Servicelevel „E-Mail-Zustellung“ gilt nur für seriöse geschäftliche E-Mails (keine</w:t>
      </w:r>
      <w:r w:rsidR="004A385A">
        <w:rPr>
          <w:rFonts w:ascii="Calibri" w:hAnsi="Calibri"/>
          <w:sz w:val="22"/>
          <w:lang w:val="de-DE"/>
        </w:rPr>
        <w:t> </w:t>
      </w:r>
      <w:r w:rsidRPr="0092627D">
        <w:rPr>
          <w:rFonts w:ascii="Calibri" w:hAnsi="Calibri"/>
          <w:sz w:val="22"/>
          <w:lang w:val="de-DE"/>
        </w:rPr>
        <w:t>Massen-E-Mails), die an gültige E-Mail-Konten zugestellt werden.</w:t>
      </w:r>
    </w:p>
    <w:p w:rsidR="000D4A0B" w:rsidRPr="0092627D" w:rsidRDefault="000D4A0B" w:rsidP="006748C4">
      <w:pPr>
        <w:pStyle w:val="ListParagraph"/>
        <w:numPr>
          <w:ilvl w:val="0"/>
          <w:numId w:val="23"/>
        </w:numPr>
        <w:suppressAutoHyphens w:val="0"/>
        <w:autoSpaceDN/>
        <w:spacing w:after="200"/>
        <w:ind w:left="1440"/>
        <w:textAlignment w:val="auto"/>
        <w:rPr>
          <w:rFonts w:ascii="Calibri" w:hAnsi="Calibri"/>
          <w:lang w:val="de-DE"/>
        </w:rPr>
      </w:pPr>
      <w:r w:rsidRPr="0092627D">
        <w:rPr>
          <w:rFonts w:ascii="Calibri" w:hAnsi="Calibri"/>
          <w:sz w:val="22"/>
          <w:lang w:val="de-DE"/>
        </w:rPr>
        <w:t>In folgenden Fällen gilt der Servicelevel „E-Mail-Zustellung“ nicht:</w:t>
      </w:r>
    </w:p>
    <w:p w:rsidR="000D4A0B" w:rsidRPr="0092627D" w:rsidRDefault="000D4A0B" w:rsidP="006748C4">
      <w:pPr>
        <w:pStyle w:val="ListParagraph"/>
        <w:numPr>
          <w:ilvl w:val="4"/>
          <w:numId w:val="13"/>
        </w:numPr>
        <w:suppressAutoHyphens w:val="0"/>
        <w:autoSpaceDN/>
        <w:spacing w:after="200"/>
        <w:ind w:left="2074"/>
        <w:textAlignment w:val="auto"/>
        <w:rPr>
          <w:rFonts w:ascii="Calibri" w:hAnsi="Calibri"/>
          <w:lang w:val="de-DE"/>
        </w:rPr>
      </w:pPr>
      <w:r w:rsidRPr="0092627D">
        <w:rPr>
          <w:rFonts w:ascii="Calibri" w:hAnsi="Calibri"/>
          <w:sz w:val="22"/>
          <w:lang w:val="de-DE"/>
        </w:rPr>
        <w:t>Zustellung von E-Mails an Quarantäneorte oder Archive</w:t>
      </w:r>
    </w:p>
    <w:p w:rsidR="000D4A0B" w:rsidRPr="0092627D" w:rsidRDefault="000D4A0B" w:rsidP="006748C4">
      <w:pPr>
        <w:pStyle w:val="ListParagraph"/>
        <w:numPr>
          <w:ilvl w:val="4"/>
          <w:numId w:val="13"/>
        </w:numPr>
        <w:suppressAutoHyphens w:val="0"/>
        <w:autoSpaceDN/>
        <w:spacing w:after="200"/>
        <w:ind w:left="2074"/>
        <w:textAlignment w:val="auto"/>
        <w:rPr>
          <w:rFonts w:ascii="Calibri" w:hAnsi="Calibri"/>
          <w:lang w:val="de-DE"/>
        </w:rPr>
      </w:pPr>
      <w:r w:rsidRPr="0092627D">
        <w:rPr>
          <w:rFonts w:ascii="Calibri" w:hAnsi="Calibri"/>
          <w:sz w:val="22"/>
          <w:lang w:val="de-DE"/>
        </w:rPr>
        <w:lastRenderedPageBreak/>
        <w:t>E-Mails in Warteschlangen</w:t>
      </w:r>
    </w:p>
    <w:p w:rsidR="000D4A0B" w:rsidRPr="00BC187C" w:rsidRDefault="000D4A0B" w:rsidP="006748C4">
      <w:pPr>
        <w:pStyle w:val="ListParagraph"/>
        <w:numPr>
          <w:ilvl w:val="4"/>
          <w:numId w:val="13"/>
        </w:numPr>
        <w:suppressAutoHyphens w:val="0"/>
        <w:autoSpaceDN/>
        <w:spacing w:after="200"/>
        <w:ind w:left="2074"/>
        <w:textAlignment w:val="auto"/>
        <w:rPr>
          <w:rFonts w:ascii="Calibri" w:hAnsi="Calibri"/>
        </w:rPr>
      </w:pPr>
      <w:r w:rsidRPr="00BC187C">
        <w:rPr>
          <w:rFonts w:ascii="Calibri" w:hAnsi="Calibri"/>
          <w:sz w:val="22"/>
        </w:rPr>
        <w:t>Denial-of-Service-</w:t>
      </w:r>
      <w:proofErr w:type="spellStart"/>
      <w:r w:rsidRPr="00BC187C">
        <w:rPr>
          <w:rFonts w:ascii="Calibri" w:hAnsi="Calibri"/>
          <w:sz w:val="22"/>
        </w:rPr>
        <w:t>Angriffe</w:t>
      </w:r>
      <w:proofErr w:type="spellEnd"/>
      <w:r w:rsidRPr="00BC187C">
        <w:rPr>
          <w:rFonts w:ascii="Calibri" w:hAnsi="Calibri"/>
          <w:sz w:val="22"/>
        </w:rPr>
        <w:t xml:space="preserve"> (</w:t>
      </w:r>
      <w:proofErr w:type="spellStart"/>
      <w:r w:rsidRPr="00BC187C">
        <w:rPr>
          <w:rFonts w:ascii="Calibri" w:hAnsi="Calibri"/>
          <w:sz w:val="22"/>
        </w:rPr>
        <w:t>DoS</w:t>
      </w:r>
      <w:proofErr w:type="spellEnd"/>
      <w:r w:rsidRPr="00BC187C">
        <w:rPr>
          <w:rFonts w:ascii="Calibri" w:hAnsi="Calibri"/>
          <w:sz w:val="22"/>
        </w:rPr>
        <w:t>)</w:t>
      </w:r>
    </w:p>
    <w:p w:rsidR="000D4A0B" w:rsidRPr="0092627D" w:rsidRDefault="000D4A0B" w:rsidP="006748C4">
      <w:pPr>
        <w:pStyle w:val="ListParagraph"/>
        <w:numPr>
          <w:ilvl w:val="4"/>
          <w:numId w:val="13"/>
        </w:numPr>
        <w:suppressAutoHyphens w:val="0"/>
        <w:autoSpaceDN/>
        <w:spacing w:after="200"/>
        <w:ind w:left="2074"/>
        <w:textAlignment w:val="auto"/>
        <w:rPr>
          <w:rFonts w:ascii="Calibri" w:hAnsi="Calibri"/>
          <w:lang w:val="de-DE"/>
        </w:rPr>
      </w:pPr>
      <w:r w:rsidRPr="0092627D">
        <w:rPr>
          <w:rFonts w:ascii="Calibri" w:hAnsi="Calibri"/>
          <w:sz w:val="22"/>
          <w:lang w:val="de-DE"/>
        </w:rPr>
        <w:t>E-Mail-Schleifen</w:t>
      </w:r>
    </w:p>
    <w:p w:rsidR="000D4A0B" w:rsidRPr="0092627D" w:rsidRDefault="000D4A0B" w:rsidP="002F1EF4">
      <w:pPr>
        <w:pStyle w:val="ListParagraph"/>
        <w:keepNext/>
        <w:numPr>
          <w:ilvl w:val="0"/>
          <w:numId w:val="23"/>
        </w:numPr>
        <w:suppressAutoHyphens w:val="0"/>
        <w:autoSpaceDN/>
        <w:spacing w:after="200"/>
        <w:ind w:left="1440"/>
        <w:textAlignment w:val="auto"/>
        <w:rPr>
          <w:rFonts w:ascii="Calibri" w:hAnsi="Calibri"/>
          <w:lang w:val="de-DE"/>
        </w:rPr>
      </w:pPr>
      <w:r w:rsidRPr="0092627D">
        <w:rPr>
          <w:rFonts w:ascii="Calibri" w:hAnsi="Calibri"/>
          <w:sz w:val="22"/>
          <w:lang w:val="de-DE"/>
        </w:rPr>
        <w:t>Die verfügbare Dienstgutschrift für den Dienst „E-Mail-Zustellung“ beträgt:</w:t>
      </w:r>
    </w:p>
    <w:p w:rsidR="000D4A0B" w:rsidRPr="0092627D" w:rsidRDefault="000D4A0B" w:rsidP="00DC7CA4">
      <w:pPr>
        <w:pStyle w:val="ListParagraph"/>
        <w:suppressAutoHyphens w:val="0"/>
        <w:autoSpaceDN/>
        <w:spacing w:after="200"/>
        <w:ind w:left="1980"/>
        <w:textAlignment w:val="auto"/>
        <w:rPr>
          <w:rFonts w:ascii="Calibri" w:hAnsi="Calibri"/>
          <w:lang w:val="de-DE"/>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0D4A0B" w:rsidRPr="0092627D" w:rsidTr="00777FA3">
        <w:trPr>
          <w:trHeight w:val="525"/>
        </w:trPr>
        <w:tc>
          <w:tcPr>
            <w:tcW w:w="4171" w:type="dxa"/>
            <w:shd w:val="clear" w:color="auto" w:fill="D9D9D9"/>
          </w:tcPr>
          <w:p w:rsidR="000D4A0B" w:rsidRPr="0092627D" w:rsidRDefault="000D4A0B" w:rsidP="00777FA3">
            <w:pPr>
              <w:pStyle w:val="ListParagraph"/>
              <w:ind w:left="0"/>
              <w:jc w:val="center"/>
              <w:rPr>
                <w:rFonts w:ascii="Calibri" w:hAnsi="Calibri"/>
                <w:lang w:val="de-DE"/>
              </w:rPr>
            </w:pPr>
            <w:r w:rsidRPr="0092627D">
              <w:rPr>
                <w:rFonts w:ascii="Calibri" w:hAnsi="Calibri"/>
                <w:sz w:val="22"/>
                <w:lang w:val="de-DE"/>
              </w:rPr>
              <w:t>Durchschnittlich für die E-Mail-Zustellung benötigte Zeit</w:t>
            </w:r>
          </w:p>
          <w:p w:rsidR="000D4A0B" w:rsidRPr="0092627D" w:rsidRDefault="000D4A0B" w:rsidP="00777FA3">
            <w:pPr>
              <w:pStyle w:val="ListParagraph"/>
              <w:ind w:left="0"/>
              <w:jc w:val="center"/>
              <w:rPr>
                <w:rFonts w:ascii="Calibri" w:hAnsi="Calibri" w:cs="Calibri"/>
                <w:sz w:val="22"/>
                <w:lang w:val="de-DE"/>
              </w:rPr>
            </w:pPr>
            <w:r w:rsidRPr="0092627D">
              <w:rPr>
                <w:rFonts w:ascii="Calibri" w:hAnsi="Calibri" w:cs="Calibri"/>
                <w:sz w:val="22"/>
                <w:szCs w:val="22"/>
                <w:lang w:val="de-DE"/>
              </w:rPr>
              <w:t>(wie oben definiert)</w:t>
            </w:r>
          </w:p>
        </w:tc>
        <w:tc>
          <w:tcPr>
            <w:tcW w:w="3375" w:type="dxa"/>
            <w:shd w:val="clear" w:color="auto" w:fill="D9D9D9"/>
          </w:tcPr>
          <w:p w:rsidR="000D4A0B" w:rsidRPr="0092627D" w:rsidRDefault="000D4A0B" w:rsidP="00777FA3">
            <w:pPr>
              <w:pStyle w:val="ListParagraph"/>
              <w:ind w:left="0"/>
              <w:jc w:val="center"/>
              <w:rPr>
                <w:rFonts w:ascii="Calibri" w:hAnsi="Calibri" w:cs="Calibri"/>
                <w:sz w:val="22"/>
                <w:lang w:val="de-DE"/>
              </w:rPr>
            </w:pPr>
            <w:r w:rsidRPr="0092627D">
              <w:rPr>
                <w:rFonts w:ascii="Calibri" w:hAnsi="Calibri" w:cs="Calibri"/>
                <w:sz w:val="22"/>
                <w:szCs w:val="22"/>
                <w:lang w:val="de-DE"/>
              </w:rPr>
              <w:t>Dienstgutschrift</w:t>
            </w:r>
          </w:p>
        </w:tc>
      </w:tr>
      <w:tr w:rsidR="000D4A0B" w:rsidRPr="0092627D" w:rsidTr="00777FA3">
        <w:trPr>
          <w:trHeight w:val="270"/>
        </w:trPr>
        <w:tc>
          <w:tcPr>
            <w:tcW w:w="4171" w:type="dxa"/>
          </w:tcPr>
          <w:p w:rsidR="000D4A0B" w:rsidRPr="0092627D" w:rsidRDefault="000D4A0B" w:rsidP="00777FA3">
            <w:pPr>
              <w:pStyle w:val="ListParagraph"/>
              <w:ind w:left="0"/>
              <w:jc w:val="center"/>
              <w:rPr>
                <w:rFonts w:ascii="Calibri" w:hAnsi="Calibri" w:cs="Calibri"/>
                <w:sz w:val="22"/>
                <w:lang w:val="de-DE"/>
              </w:rPr>
            </w:pPr>
            <w:r w:rsidRPr="0092627D">
              <w:rPr>
                <w:rFonts w:ascii="Calibri" w:hAnsi="Calibri" w:cs="Calibri"/>
                <w:sz w:val="22"/>
                <w:szCs w:val="22"/>
                <w:lang w:val="de-DE"/>
              </w:rPr>
              <w:t>&gt; 1</w:t>
            </w:r>
          </w:p>
        </w:tc>
        <w:tc>
          <w:tcPr>
            <w:tcW w:w="3375" w:type="dxa"/>
          </w:tcPr>
          <w:p w:rsidR="000D4A0B" w:rsidRPr="0092627D" w:rsidRDefault="000D4A0B" w:rsidP="00777FA3">
            <w:pPr>
              <w:pStyle w:val="ListParagraph"/>
              <w:ind w:left="0"/>
              <w:jc w:val="center"/>
              <w:rPr>
                <w:rFonts w:ascii="Calibri" w:hAnsi="Calibri" w:cs="Calibri"/>
                <w:sz w:val="22"/>
                <w:lang w:val="de-DE"/>
              </w:rPr>
            </w:pPr>
            <w:r w:rsidRPr="0092627D">
              <w:rPr>
                <w:rFonts w:ascii="Calibri" w:hAnsi="Calibri" w:cs="Calibri"/>
                <w:sz w:val="22"/>
                <w:szCs w:val="22"/>
                <w:lang w:val="de-DE"/>
              </w:rPr>
              <w:t>25 %</w:t>
            </w:r>
          </w:p>
        </w:tc>
      </w:tr>
      <w:tr w:rsidR="000D4A0B" w:rsidRPr="0092627D" w:rsidTr="00777FA3">
        <w:trPr>
          <w:trHeight w:val="270"/>
        </w:trPr>
        <w:tc>
          <w:tcPr>
            <w:tcW w:w="4171" w:type="dxa"/>
          </w:tcPr>
          <w:p w:rsidR="000D4A0B" w:rsidRPr="0092627D" w:rsidRDefault="000D4A0B" w:rsidP="00777FA3">
            <w:pPr>
              <w:pStyle w:val="ListParagraph"/>
              <w:ind w:left="0"/>
              <w:jc w:val="center"/>
              <w:rPr>
                <w:rFonts w:ascii="Calibri" w:hAnsi="Calibri" w:cs="Calibri"/>
                <w:sz w:val="22"/>
                <w:lang w:val="de-DE"/>
              </w:rPr>
            </w:pPr>
            <w:r w:rsidRPr="0092627D">
              <w:rPr>
                <w:rFonts w:ascii="Calibri" w:hAnsi="Calibri" w:cs="Calibri"/>
                <w:sz w:val="22"/>
                <w:szCs w:val="22"/>
                <w:lang w:val="de-DE"/>
              </w:rPr>
              <w:t>&gt; 4</w:t>
            </w:r>
          </w:p>
        </w:tc>
        <w:tc>
          <w:tcPr>
            <w:tcW w:w="3375" w:type="dxa"/>
          </w:tcPr>
          <w:p w:rsidR="000D4A0B" w:rsidRPr="0092627D" w:rsidRDefault="000D4A0B" w:rsidP="00777FA3">
            <w:pPr>
              <w:pStyle w:val="ListParagraph"/>
              <w:ind w:left="0"/>
              <w:jc w:val="center"/>
              <w:rPr>
                <w:rFonts w:ascii="Calibri" w:hAnsi="Calibri" w:cs="Calibri"/>
                <w:sz w:val="22"/>
                <w:lang w:val="de-DE"/>
              </w:rPr>
            </w:pPr>
            <w:r w:rsidRPr="0092627D">
              <w:rPr>
                <w:rFonts w:ascii="Calibri" w:hAnsi="Calibri" w:cs="Calibri"/>
                <w:sz w:val="22"/>
                <w:szCs w:val="22"/>
                <w:lang w:val="de-DE"/>
              </w:rPr>
              <w:t>50 %</w:t>
            </w:r>
          </w:p>
        </w:tc>
      </w:tr>
      <w:tr w:rsidR="000D4A0B" w:rsidRPr="0092627D" w:rsidTr="00777FA3">
        <w:trPr>
          <w:trHeight w:val="270"/>
        </w:trPr>
        <w:tc>
          <w:tcPr>
            <w:tcW w:w="4171" w:type="dxa"/>
          </w:tcPr>
          <w:p w:rsidR="000D4A0B" w:rsidRPr="0092627D" w:rsidRDefault="000D4A0B" w:rsidP="00777FA3">
            <w:pPr>
              <w:pStyle w:val="ListParagraph"/>
              <w:ind w:left="0"/>
              <w:jc w:val="center"/>
              <w:rPr>
                <w:rFonts w:ascii="Calibri" w:hAnsi="Calibri" w:cs="Calibri"/>
                <w:sz w:val="22"/>
                <w:lang w:val="de-DE"/>
              </w:rPr>
            </w:pPr>
            <w:r w:rsidRPr="0092627D">
              <w:rPr>
                <w:rFonts w:ascii="Calibri" w:hAnsi="Calibri" w:cs="Calibri"/>
                <w:sz w:val="22"/>
                <w:szCs w:val="22"/>
                <w:lang w:val="de-DE"/>
              </w:rPr>
              <w:t>&gt; 10</w:t>
            </w:r>
          </w:p>
        </w:tc>
        <w:tc>
          <w:tcPr>
            <w:tcW w:w="3375" w:type="dxa"/>
          </w:tcPr>
          <w:p w:rsidR="000D4A0B" w:rsidRPr="0092627D" w:rsidRDefault="000D4A0B" w:rsidP="00777FA3">
            <w:pPr>
              <w:pStyle w:val="ListParagraph"/>
              <w:ind w:left="0"/>
              <w:jc w:val="center"/>
              <w:rPr>
                <w:rFonts w:ascii="Calibri" w:hAnsi="Calibri" w:cs="Calibri"/>
                <w:sz w:val="22"/>
                <w:lang w:val="de-DE"/>
              </w:rPr>
            </w:pPr>
            <w:r w:rsidRPr="0092627D">
              <w:rPr>
                <w:rFonts w:ascii="Calibri" w:hAnsi="Calibri" w:cs="Calibri"/>
                <w:sz w:val="22"/>
                <w:szCs w:val="22"/>
                <w:lang w:val="de-DE"/>
              </w:rPr>
              <w:t>100 %</w:t>
            </w:r>
          </w:p>
        </w:tc>
      </w:tr>
    </w:tbl>
    <w:p w:rsidR="000D4A0B" w:rsidRPr="007C7668" w:rsidRDefault="000D4A0B" w:rsidP="00DC7CA4">
      <w:pPr>
        <w:keepNext/>
        <w:rPr>
          <w:rFonts w:ascii="Calibri" w:hAnsi="Calibri"/>
          <w:sz w:val="22"/>
          <w:szCs w:val="22"/>
          <w:lang w:val="de-DE"/>
        </w:rPr>
      </w:pPr>
    </w:p>
    <w:p w:rsidR="000D4A0B" w:rsidRPr="0092627D" w:rsidRDefault="000D4A0B" w:rsidP="00FC5E2D">
      <w:pPr>
        <w:pStyle w:val="ListParagraph"/>
        <w:keepNext/>
        <w:numPr>
          <w:ilvl w:val="0"/>
          <w:numId w:val="15"/>
        </w:numPr>
        <w:rPr>
          <w:rFonts w:ascii="Calibri" w:hAnsi="Calibri"/>
          <w:lang w:val="de-DE"/>
        </w:rPr>
      </w:pPr>
      <w:r w:rsidRPr="0092627D">
        <w:rPr>
          <w:rFonts w:ascii="Calibri" w:hAnsi="Calibri"/>
          <w:b/>
          <w:sz w:val="22"/>
          <w:lang w:val="de-DE"/>
        </w:rPr>
        <w:t>Für Microsoft Rights Management:</w:t>
      </w:r>
    </w:p>
    <w:p w:rsidR="000D4A0B" w:rsidRPr="004A385A" w:rsidRDefault="000D4A0B" w:rsidP="00FC5E2D">
      <w:pPr>
        <w:pStyle w:val="ListParagraph"/>
        <w:keepNext/>
        <w:rPr>
          <w:rFonts w:asciiTheme="minorHAnsi" w:hAnsiTheme="minorHAnsi" w:cstheme="minorHAnsi"/>
          <w:bCs/>
          <w:sz w:val="22"/>
          <w:szCs w:val="22"/>
        </w:rPr>
      </w:pPr>
    </w:p>
    <w:p w:rsidR="000D4A0B" w:rsidRPr="0092627D" w:rsidRDefault="000D4A0B" w:rsidP="000E26EC">
      <w:pPr>
        <w:pStyle w:val="ListParagraph"/>
        <w:rPr>
          <w:rFonts w:ascii="Calibri" w:hAnsi="Calibri"/>
          <w:lang w:val="de-DE"/>
        </w:rPr>
      </w:pPr>
      <w:r w:rsidRPr="0092627D">
        <w:rPr>
          <w:rFonts w:ascii="Calibri" w:hAnsi="Calibri"/>
          <w:sz w:val="22"/>
          <w:lang w:val="de-DE"/>
        </w:rPr>
        <w:t>Für diesen Dienst gibt es keine Geplanten Ausfallzeiten.</w:t>
      </w:r>
    </w:p>
    <w:p w:rsidR="000D4A0B" w:rsidRPr="00BC187C" w:rsidRDefault="000D4A0B" w:rsidP="00FC5E2D">
      <w:pPr>
        <w:pStyle w:val="ListParagraph"/>
        <w:rPr>
          <w:rFonts w:ascii="Calibri" w:hAnsi="Calibri" w:cs="Calibri"/>
          <w:bCs/>
          <w:sz w:val="22"/>
          <w:szCs w:val="22"/>
          <w:lang w:val="de-DE"/>
        </w:rPr>
      </w:pPr>
    </w:p>
    <w:p w:rsidR="000D4A0B" w:rsidRPr="0092627D" w:rsidRDefault="000D4A0B" w:rsidP="00FC5E2D">
      <w:pPr>
        <w:pStyle w:val="ListParagraph"/>
        <w:keepNext/>
        <w:numPr>
          <w:ilvl w:val="0"/>
          <w:numId w:val="15"/>
        </w:numPr>
        <w:rPr>
          <w:rFonts w:ascii="Calibri" w:hAnsi="Calibri"/>
          <w:lang w:val="de-DE"/>
        </w:rPr>
      </w:pPr>
      <w:r w:rsidRPr="0092627D">
        <w:rPr>
          <w:rFonts w:ascii="Calibri" w:hAnsi="Calibri"/>
          <w:b/>
          <w:sz w:val="22"/>
          <w:lang w:val="de-DE"/>
        </w:rPr>
        <w:t>Für Windows Intune:</w:t>
      </w:r>
    </w:p>
    <w:p w:rsidR="000D4A0B" w:rsidRPr="00AB58F4" w:rsidRDefault="000D4A0B" w:rsidP="00FC5E2D">
      <w:pPr>
        <w:keepNext/>
        <w:autoSpaceDE w:val="0"/>
        <w:adjustRightInd w:val="0"/>
        <w:ind w:left="720"/>
        <w:rPr>
          <w:rFonts w:ascii="Calibri" w:hAnsi="Calibri" w:cs="Calibri"/>
          <w:lang w:val="en"/>
        </w:rPr>
      </w:pPr>
    </w:p>
    <w:p w:rsidR="000D4A0B" w:rsidRPr="0092627D" w:rsidRDefault="000D4A0B" w:rsidP="00C57D0B">
      <w:pPr>
        <w:pStyle w:val="ListParagraph"/>
        <w:numPr>
          <w:ilvl w:val="0"/>
          <w:numId w:val="18"/>
        </w:numPr>
        <w:autoSpaceDE w:val="0"/>
        <w:adjustRightInd w:val="0"/>
        <w:textAlignment w:val="auto"/>
        <w:rPr>
          <w:rFonts w:ascii="Calibri" w:hAnsi="Calibri"/>
          <w:lang w:val="de-DE"/>
        </w:rPr>
      </w:pPr>
      <w:r w:rsidRPr="0092627D">
        <w:rPr>
          <w:rFonts w:ascii="Calibri" w:hAnsi="Calibri"/>
          <w:sz w:val="22"/>
          <w:lang w:val="de-DE"/>
        </w:rPr>
        <w:t>Geplante Ausfallzeiten betragen maximal 10 Stunden pro Kalenderjahr.</w:t>
      </w:r>
    </w:p>
    <w:p w:rsidR="000D4A0B" w:rsidRPr="0092627D" w:rsidRDefault="000D4A0B" w:rsidP="00C57D0B">
      <w:pPr>
        <w:pStyle w:val="ListParagraph"/>
        <w:numPr>
          <w:ilvl w:val="0"/>
          <w:numId w:val="18"/>
        </w:numPr>
        <w:autoSpaceDE w:val="0"/>
        <w:adjustRightInd w:val="0"/>
        <w:textAlignment w:val="auto"/>
        <w:rPr>
          <w:rFonts w:ascii="Calibri" w:hAnsi="Calibri"/>
          <w:lang w:val="de-DE"/>
        </w:rPr>
      </w:pPr>
      <w:r w:rsidRPr="0092627D">
        <w:rPr>
          <w:rFonts w:ascii="Calibri" w:hAnsi="Calibri"/>
          <w:sz w:val="22"/>
          <w:lang w:val="de-DE"/>
        </w:rPr>
        <w:t>Der Servicelevel findet keine Anwendung auf:</w:t>
      </w:r>
    </w:p>
    <w:p w:rsidR="000D4A0B" w:rsidRPr="0092627D" w:rsidRDefault="000D4A0B" w:rsidP="007D518E">
      <w:pPr>
        <w:pStyle w:val="BalloonText"/>
        <w:numPr>
          <w:ilvl w:val="2"/>
          <w:numId w:val="12"/>
        </w:numPr>
        <w:rPr>
          <w:rFonts w:ascii="Calibri" w:hAnsi="Calibri"/>
          <w:lang w:val="de-DE"/>
        </w:rPr>
      </w:pPr>
      <w:r w:rsidRPr="0092627D">
        <w:rPr>
          <w:rFonts w:ascii="Calibri" w:hAnsi="Calibri" w:cs="Calibri"/>
          <w:sz w:val="22"/>
          <w:szCs w:val="22"/>
          <w:lang w:val="de-DE"/>
        </w:rPr>
        <w:tab/>
        <w:t xml:space="preserve">Vor-Ort-Software, die als Teil des Diensteabonnements lizenziert ist. </w:t>
      </w:r>
    </w:p>
    <w:p w:rsidR="000D4A0B" w:rsidRPr="0092627D" w:rsidRDefault="000D4A0B" w:rsidP="007D518E">
      <w:pPr>
        <w:pStyle w:val="BalloonText"/>
        <w:numPr>
          <w:ilvl w:val="2"/>
          <w:numId w:val="12"/>
        </w:numPr>
        <w:ind w:left="1440" w:hanging="360"/>
        <w:rPr>
          <w:rFonts w:ascii="Calibri" w:hAnsi="Calibri"/>
          <w:lang w:val="de-DE"/>
        </w:rPr>
      </w:pPr>
      <w:r w:rsidRPr="0092627D">
        <w:rPr>
          <w:rFonts w:ascii="Calibri" w:hAnsi="Calibri"/>
          <w:sz w:val="22"/>
          <w:lang w:val="de-DE"/>
        </w:rPr>
        <w:t xml:space="preserve">internetbasierte Dienste (mit Ausnahme von Windows Intune), die Updates für </w:t>
      </w:r>
      <w:r w:rsidR="00F17F8E">
        <w:rPr>
          <w:rFonts w:ascii="Calibri" w:hAnsi="Calibri"/>
          <w:sz w:val="22"/>
          <w:lang w:val="de-DE"/>
        </w:rPr>
        <w:br/>
      </w:r>
      <w:r w:rsidRPr="0092627D">
        <w:rPr>
          <w:rFonts w:ascii="Calibri" w:hAnsi="Calibri"/>
          <w:sz w:val="22"/>
          <w:lang w:val="de-DE"/>
        </w:rPr>
        <w:t>Vor-Ort-Software bereitstellen, die als Teil des Diensteabonnements lizenziert ist.</w:t>
      </w:r>
    </w:p>
    <w:p w:rsidR="000D4A0B" w:rsidRPr="00BC187C" w:rsidRDefault="000D4A0B" w:rsidP="00FC5E2D">
      <w:pPr>
        <w:rPr>
          <w:rFonts w:asciiTheme="minorHAnsi" w:hAnsiTheme="minorHAnsi" w:cstheme="minorHAnsi"/>
          <w:sz w:val="22"/>
          <w:szCs w:val="22"/>
          <w:lang w:val="de-DE"/>
        </w:rPr>
      </w:pPr>
    </w:p>
    <w:p w:rsidR="000D4A0B" w:rsidRPr="00E2432E" w:rsidRDefault="000D4A0B" w:rsidP="003F3D85">
      <w:pPr>
        <w:pStyle w:val="ListParagraph"/>
        <w:keepNext/>
        <w:numPr>
          <w:ilvl w:val="0"/>
          <w:numId w:val="15"/>
        </w:numPr>
        <w:suppressAutoHyphens w:val="0"/>
        <w:autoSpaceDN/>
        <w:textAlignment w:val="auto"/>
        <w:rPr>
          <w:rFonts w:ascii="Calibri" w:hAnsi="Calibri"/>
          <w:lang w:val="de-DE"/>
        </w:rPr>
      </w:pPr>
      <w:r w:rsidRPr="0092627D">
        <w:rPr>
          <w:rFonts w:ascii="Calibri" w:hAnsi="Calibri"/>
          <w:b/>
          <w:color w:val="000000"/>
          <w:sz w:val="22"/>
          <w:lang w:val="de-DE"/>
        </w:rPr>
        <w:t>Dieser Abschnitt (i) gilt für:</w:t>
      </w:r>
    </w:p>
    <w:p w:rsidR="00E2432E" w:rsidRPr="0092627D" w:rsidRDefault="00E2432E" w:rsidP="00E2432E">
      <w:pPr>
        <w:suppressAutoHyphens w:val="0"/>
        <w:autoSpaceDN/>
        <w:ind w:left="360" w:hanging="360"/>
        <w:textAlignment w:val="auto"/>
        <w:rPr>
          <w:rFonts w:ascii="Calibri" w:hAnsi="Calibri"/>
          <w:lang w:val="de-DE"/>
        </w:rPr>
      </w:pPr>
    </w:p>
    <w:p w:rsidR="000D4A0B" w:rsidRPr="00E2432E" w:rsidRDefault="000D4A0B" w:rsidP="00DE5E25">
      <w:pPr>
        <w:pStyle w:val="ListParagraph"/>
        <w:numPr>
          <w:ilvl w:val="0"/>
          <w:numId w:val="25"/>
        </w:numPr>
        <w:suppressAutoHyphens w:val="0"/>
        <w:autoSpaceDN/>
        <w:ind w:left="1440"/>
        <w:contextualSpacing w:val="0"/>
        <w:textAlignment w:val="auto"/>
        <w:rPr>
          <w:rFonts w:ascii="Calibri" w:hAnsi="Calibri"/>
          <w:lang w:val="de-DE"/>
        </w:rPr>
      </w:pPr>
      <w:r w:rsidRPr="00E2432E">
        <w:rPr>
          <w:rFonts w:ascii="Calibri" w:hAnsi="Calibri"/>
          <w:color w:val="000000"/>
          <w:sz w:val="22"/>
          <w:lang w:val="de-DE"/>
        </w:rPr>
        <w:t>alle über Open, Open Value und Open Value Subscription-Lizenzverträge erworbene Dienste und</w:t>
      </w:r>
    </w:p>
    <w:p w:rsidR="000D4A0B" w:rsidRPr="0092627D" w:rsidRDefault="000D4A0B" w:rsidP="00F046B1">
      <w:pPr>
        <w:suppressAutoHyphens w:val="0"/>
        <w:autoSpaceDN/>
        <w:ind w:left="360" w:hanging="360"/>
        <w:textAlignment w:val="auto"/>
        <w:rPr>
          <w:rFonts w:ascii="Calibri" w:hAnsi="Calibri"/>
          <w:lang w:val="de-DE"/>
        </w:rPr>
      </w:pPr>
    </w:p>
    <w:p w:rsidR="000D4A0B" w:rsidRPr="0092627D" w:rsidRDefault="000D4A0B" w:rsidP="00F046B1">
      <w:pPr>
        <w:pStyle w:val="ListParagraph"/>
        <w:numPr>
          <w:ilvl w:val="0"/>
          <w:numId w:val="20"/>
        </w:numPr>
        <w:autoSpaceDE w:val="0"/>
        <w:adjustRightInd w:val="0"/>
        <w:textAlignment w:val="auto"/>
        <w:rPr>
          <w:rFonts w:ascii="Calibri" w:hAnsi="Calibri"/>
          <w:lang w:val="de-DE"/>
        </w:rPr>
      </w:pPr>
      <w:r w:rsidRPr="0092627D">
        <w:rPr>
          <w:rFonts w:ascii="Calibri" w:hAnsi="Calibri"/>
          <w:color w:val="000000"/>
          <w:sz w:val="22"/>
          <w:lang w:val="de-DE"/>
        </w:rPr>
        <w:t>sämtliche in Form eines Produktschlüssels erworbenen Dienste der Office 365 Small Business Premium Suite.</w:t>
      </w:r>
    </w:p>
    <w:p w:rsidR="000D4A0B" w:rsidRPr="00BC187C" w:rsidRDefault="000D4A0B" w:rsidP="00F046B1">
      <w:pPr>
        <w:autoSpaceDE w:val="0"/>
        <w:adjustRightInd w:val="0"/>
        <w:ind w:left="720"/>
        <w:textAlignment w:val="auto"/>
        <w:rPr>
          <w:rFonts w:asciiTheme="minorHAnsi" w:hAnsiTheme="minorHAnsi" w:cstheme="minorHAnsi"/>
          <w:sz w:val="22"/>
          <w:szCs w:val="22"/>
          <w:lang w:val="de-DE"/>
        </w:rPr>
      </w:pPr>
    </w:p>
    <w:p w:rsidR="000D4A0B" w:rsidRPr="0092627D" w:rsidRDefault="000D4A0B" w:rsidP="00513F04">
      <w:pPr>
        <w:autoSpaceDE w:val="0"/>
        <w:adjustRightInd w:val="0"/>
        <w:ind w:left="720"/>
        <w:textAlignment w:val="auto"/>
        <w:rPr>
          <w:rFonts w:ascii="Calibri" w:hAnsi="Calibri"/>
          <w:lang w:val="de-DE"/>
        </w:rPr>
      </w:pPr>
      <w:r w:rsidRPr="0092627D">
        <w:rPr>
          <w:rFonts w:ascii="Calibri" w:hAnsi="Calibri" w:cs="Calibri"/>
          <w:sz w:val="22"/>
          <w:szCs w:val="22"/>
          <w:lang w:val="de-DE"/>
        </w:rPr>
        <w:t>Diese Dienste sind nicht zu einer Dienstgutschrift auf der Grundlage der Dienstgebühren berechtigt. Jegliche Dienstgutschrift, zu der Sie möglicherweise berechtigt sind, erfolgt in Form</w:t>
      </w:r>
      <w:r w:rsidR="00513F04" w:rsidRPr="00BC187C">
        <w:rPr>
          <w:lang w:val="de-DE"/>
        </w:rPr>
        <w:t> </w:t>
      </w:r>
      <w:r w:rsidRPr="0092627D">
        <w:rPr>
          <w:rFonts w:ascii="Calibri" w:hAnsi="Calibri" w:cs="Calibri"/>
          <w:sz w:val="22"/>
          <w:szCs w:val="22"/>
          <w:lang w:val="de-DE"/>
        </w:rPr>
        <w:t xml:space="preserve">von Dienstzeit (d. h. Tagen) anstatt in Form von Dienstgebühren. </w:t>
      </w:r>
    </w:p>
    <w:p w:rsidR="000D4A0B" w:rsidRPr="00BC187C" w:rsidRDefault="000D4A0B" w:rsidP="00F046B1">
      <w:pPr>
        <w:suppressAutoHyphens w:val="0"/>
        <w:autoSpaceDN/>
        <w:spacing w:after="200" w:line="276" w:lineRule="auto"/>
        <w:contextualSpacing/>
        <w:textAlignment w:val="auto"/>
        <w:rPr>
          <w:rFonts w:ascii="Calibri" w:eastAsia="Calibri" w:hAnsi="Calibri"/>
          <w:sz w:val="22"/>
          <w:szCs w:val="22"/>
          <w:lang w:val="de-DE"/>
        </w:rPr>
      </w:pPr>
    </w:p>
    <w:p w:rsidR="000D4A0B" w:rsidRPr="0092627D" w:rsidRDefault="000D4A0B" w:rsidP="00121F60">
      <w:pPr>
        <w:keepNext/>
        <w:suppressAutoHyphens w:val="0"/>
        <w:autoSpaceDN/>
        <w:spacing w:after="200" w:line="276" w:lineRule="auto"/>
        <w:ind w:firstLine="720"/>
        <w:contextualSpacing/>
        <w:textAlignment w:val="auto"/>
        <w:rPr>
          <w:rFonts w:ascii="Calibri" w:hAnsi="Calibri"/>
          <w:lang w:val="de-DE"/>
        </w:rPr>
      </w:pPr>
      <w:r w:rsidRPr="0092627D">
        <w:rPr>
          <w:rFonts w:ascii="Calibri" w:hAnsi="Calibri"/>
          <w:sz w:val="22"/>
          <w:lang w:val="de-DE"/>
        </w:rPr>
        <w:t>Im Fall dieser Dienste</w:t>
      </w:r>
    </w:p>
    <w:p w:rsidR="000D4A0B" w:rsidRPr="0092627D" w:rsidRDefault="000D4A0B" w:rsidP="00FC5E2D">
      <w:pPr>
        <w:pStyle w:val="ListParagraph"/>
        <w:numPr>
          <w:ilvl w:val="4"/>
          <w:numId w:val="12"/>
        </w:numPr>
        <w:suppressAutoHyphens w:val="0"/>
        <w:autoSpaceDN/>
        <w:spacing w:after="200" w:line="276" w:lineRule="auto"/>
        <w:ind w:left="1080"/>
        <w:textAlignment w:val="auto"/>
        <w:rPr>
          <w:rFonts w:ascii="Calibri" w:hAnsi="Calibri"/>
          <w:lang w:val="de-DE"/>
        </w:rPr>
      </w:pPr>
      <w:r w:rsidRPr="0092627D">
        <w:rPr>
          <w:rFonts w:ascii="Calibri" w:hAnsi="Calibri"/>
          <w:sz w:val="22"/>
          <w:lang w:val="de-DE"/>
        </w:rPr>
        <w:t>wird die Definition zu „Anwendbare Monatliche Dienstgebühren“ gestrichen und durch Folgendes ersetzt:</w:t>
      </w:r>
    </w:p>
    <w:p w:rsidR="000D4A0B" w:rsidRPr="00BC187C" w:rsidRDefault="000D4A0B" w:rsidP="00FC5E2D">
      <w:pPr>
        <w:pStyle w:val="ListParagraph"/>
        <w:suppressAutoHyphens w:val="0"/>
        <w:autoSpaceDN/>
        <w:spacing w:after="200" w:line="276" w:lineRule="auto"/>
        <w:ind w:left="1080"/>
        <w:textAlignment w:val="auto"/>
        <w:rPr>
          <w:rFonts w:ascii="Calibri" w:eastAsia="Calibri" w:hAnsi="Calibri"/>
          <w:sz w:val="22"/>
          <w:szCs w:val="22"/>
          <w:lang w:val="de-DE"/>
        </w:rPr>
      </w:pPr>
    </w:p>
    <w:p w:rsidR="000D4A0B" w:rsidRPr="0092627D" w:rsidRDefault="000D4A0B" w:rsidP="00FC5E2D">
      <w:pPr>
        <w:pStyle w:val="ListParagraph"/>
        <w:suppressAutoHyphens w:val="0"/>
        <w:autoSpaceDN/>
        <w:spacing w:after="200" w:line="276" w:lineRule="auto"/>
        <w:ind w:left="1080"/>
        <w:textAlignment w:val="auto"/>
        <w:rPr>
          <w:rFonts w:ascii="Calibri" w:hAnsi="Calibri"/>
          <w:lang w:val="de-DE"/>
        </w:rPr>
      </w:pPr>
      <w:r w:rsidRPr="0092627D">
        <w:rPr>
          <w:rFonts w:ascii="Calibri" w:hAnsi="Calibri"/>
          <w:sz w:val="22"/>
          <w:lang w:val="de-DE"/>
        </w:rPr>
        <w:t>„</w:t>
      </w:r>
      <w:r w:rsidRPr="00AA0E32">
        <w:rPr>
          <w:rFonts w:ascii="Calibri" w:hAnsi="Calibri"/>
          <w:sz w:val="22"/>
          <w:lang w:val="de-DE"/>
        </w:rPr>
        <w:t>Anwendbarer Monatlicher Zeitraum</w:t>
      </w:r>
      <w:r w:rsidRPr="0092627D">
        <w:rPr>
          <w:rFonts w:ascii="Calibri" w:hAnsi="Calibri"/>
          <w:sz w:val="22"/>
          <w:lang w:val="de-DE"/>
        </w:rPr>
        <w:t>“ ist bezogen auf einen Kalendermonat, in dem wir Ihnen eine Dienstgutschrift schulden, die Anzahl von Tagen, die Sie einen Dienst abonnieren.</w:t>
      </w:r>
    </w:p>
    <w:p w:rsidR="000D4A0B" w:rsidRPr="00BC187C" w:rsidRDefault="000D4A0B" w:rsidP="00FC5E2D">
      <w:pPr>
        <w:pStyle w:val="ListParagraph"/>
        <w:suppressAutoHyphens w:val="0"/>
        <w:autoSpaceDN/>
        <w:spacing w:after="200" w:line="276" w:lineRule="auto"/>
        <w:ind w:left="1080"/>
        <w:textAlignment w:val="auto"/>
        <w:rPr>
          <w:rFonts w:ascii="Calibri" w:eastAsia="Calibri" w:hAnsi="Calibri"/>
          <w:sz w:val="22"/>
          <w:szCs w:val="22"/>
          <w:lang w:val="de-DE"/>
        </w:rPr>
      </w:pPr>
    </w:p>
    <w:p w:rsidR="000D4A0B" w:rsidRPr="0092627D" w:rsidRDefault="000D4A0B" w:rsidP="00FC5E2D">
      <w:pPr>
        <w:pStyle w:val="ListParagraph"/>
        <w:numPr>
          <w:ilvl w:val="4"/>
          <w:numId w:val="12"/>
        </w:numPr>
        <w:suppressAutoHyphens w:val="0"/>
        <w:autoSpaceDN/>
        <w:spacing w:after="200" w:line="276" w:lineRule="auto"/>
        <w:ind w:left="1080"/>
        <w:textAlignment w:val="auto"/>
        <w:rPr>
          <w:rFonts w:ascii="Calibri" w:hAnsi="Calibri"/>
          <w:lang w:val="de-DE"/>
        </w:rPr>
      </w:pPr>
      <w:r w:rsidRPr="0092627D">
        <w:rPr>
          <w:rFonts w:ascii="Calibri" w:hAnsi="Calibri"/>
          <w:sz w:val="22"/>
          <w:lang w:val="de-DE"/>
        </w:rPr>
        <w:t>Sämtliche Verweise auf die „Anwendbaren Monatlichen Dienstgebühren“ werden gestrichen und durch „Anwendbarer Monatlicher Zeitraum“ ersetzt.</w:t>
      </w:r>
    </w:p>
    <w:sectPr w:rsidR="000D4A0B" w:rsidRPr="0092627D"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D64" w:rsidRDefault="00F95D64" w:rsidP="003E73B2">
      <w:r>
        <w:separator/>
      </w:r>
    </w:p>
  </w:endnote>
  <w:endnote w:type="continuationSeparator" w:id="0">
    <w:p w:rsidR="00F95D64" w:rsidRDefault="00F95D64"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altName w:val="Meiryo"/>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A0B" w:rsidRPr="003364AA" w:rsidRDefault="000D4A0B" w:rsidP="00457DF0">
    <w:pPr>
      <w:pStyle w:val="Footer"/>
      <w:rPr>
        <w:rStyle w:val="LogoportDoNotTranslate"/>
        <w:rFonts w:ascii="Tahoma" w:hAnsi="Tahoma" w:cs="Tahoma"/>
        <w:sz w:val="16"/>
        <w:szCs w:val="16"/>
      </w:rPr>
    </w:pPr>
    <w:r w:rsidRPr="003364AA">
      <w:rPr>
        <w:rFonts w:ascii="Tahoma" w:hAnsi="Tahoma" w:cs="Tahoma"/>
        <w:b/>
        <w:i/>
        <w:sz w:val="16"/>
        <w:szCs w:val="16"/>
      </w:rPr>
      <w:t>Consolidated SLA (</w:t>
    </w:r>
    <w:r w:rsidR="00033354" w:rsidRPr="003364AA">
      <w:rPr>
        <w:rFonts w:ascii="Tahoma" w:hAnsi="Tahoma" w:cs="Tahoma"/>
        <w:b/>
        <w:i/>
        <w:sz w:val="16"/>
        <w:szCs w:val="16"/>
      </w:rPr>
      <w:t>German</w:t>
    </w:r>
    <w:r w:rsidRPr="003364AA">
      <w:rPr>
        <w:rFonts w:ascii="Tahoma" w:hAnsi="Tahoma" w:cs="Tahoma"/>
        <w:b/>
        <w:i/>
        <w:sz w:val="16"/>
        <w:szCs w:val="16"/>
      </w:rPr>
      <w:t>)</w:t>
    </w:r>
    <w:r w:rsidRPr="003364AA">
      <w:rPr>
        <w:rStyle w:val="LogoportDoNotTranslate"/>
        <w:rFonts w:ascii="Tahoma" w:hAnsi="Tahoma" w:cs="Tahoma"/>
        <w:sz w:val="16"/>
        <w:szCs w:val="16"/>
      </w:rPr>
      <w:tab/>
    </w:r>
    <w:r w:rsidRPr="003364AA">
      <w:rPr>
        <w:rFonts w:ascii="Tahoma" w:hAnsi="Tahoma" w:cs="Tahoma"/>
        <w:b/>
        <w:i/>
        <w:sz w:val="16"/>
        <w:szCs w:val="16"/>
      </w:rPr>
      <w:t>January 2014</w:t>
    </w:r>
    <w:r w:rsidRPr="003364AA">
      <w:rPr>
        <w:rStyle w:val="LogoportDoNotTranslate"/>
        <w:rFonts w:ascii="Tahoma" w:hAnsi="Tahoma" w:cs="Tahoma"/>
        <w:sz w:val="16"/>
        <w:szCs w:val="16"/>
      </w:rPr>
      <w:tab/>
    </w:r>
    <w:r w:rsidRPr="003364AA">
      <w:rPr>
        <w:rFonts w:ascii="Tahoma" w:hAnsi="Tahoma" w:cs="Tahoma"/>
        <w:b/>
        <w:i/>
        <w:sz w:val="16"/>
        <w:szCs w:val="16"/>
      </w:rPr>
      <w:t xml:space="preserve">Page </w:t>
    </w:r>
    <w:r w:rsidR="00682781" w:rsidRPr="003364AA">
      <w:rPr>
        <w:rFonts w:ascii="Tahoma" w:hAnsi="Tahoma" w:cs="Tahoma"/>
        <w:b/>
        <w:i/>
        <w:sz w:val="16"/>
        <w:szCs w:val="16"/>
      </w:rPr>
      <w:fldChar w:fldCharType="begin"/>
    </w:r>
    <w:r w:rsidR="00682781" w:rsidRPr="003364AA">
      <w:rPr>
        <w:rFonts w:ascii="Tahoma" w:hAnsi="Tahoma" w:cs="Tahoma"/>
        <w:b/>
        <w:i/>
        <w:sz w:val="16"/>
        <w:szCs w:val="16"/>
      </w:rPr>
      <w:instrText xml:space="preserve"> PAGE  \* Arabic  \* MERGEFORMAT </w:instrText>
    </w:r>
    <w:r w:rsidR="00682781" w:rsidRPr="003364AA">
      <w:rPr>
        <w:rFonts w:ascii="Tahoma" w:hAnsi="Tahoma" w:cs="Tahoma"/>
        <w:b/>
        <w:i/>
        <w:sz w:val="16"/>
        <w:szCs w:val="16"/>
      </w:rPr>
      <w:fldChar w:fldCharType="separate"/>
    </w:r>
    <w:r w:rsidR="00B343B5">
      <w:rPr>
        <w:rFonts w:ascii="Tahoma" w:hAnsi="Tahoma" w:cs="Tahoma"/>
        <w:b/>
        <w:i/>
        <w:noProof/>
        <w:sz w:val="16"/>
        <w:szCs w:val="16"/>
      </w:rPr>
      <w:t>9</w:t>
    </w:r>
    <w:r w:rsidR="00682781" w:rsidRPr="003364AA">
      <w:rPr>
        <w:rFonts w:ascii="Tahoma" w:hAnsi="Tahoma" w:cs="Tahoma"/>
        <w:b/>
        <w:i/>
        <w:sz w:val="16"/>
        <w:szCs w:val="16"/>
      </w:rPr>
      <w:fldChar w:fldCharType="end"/>
    </w:r>
    <w:r w:rsidRPr="003364AA">
      <w:rPr>
        <w:rFonts w:ascii="Tahoma" w:hAnsi="Tahoma" w:cs="Tahoma"/>
        <w:b/>
        <w:i/>
        <w:sz w:val="16"/>
        <w:szCs w:val="16"/>
      </w:rPr>
      <w:t xml:space="preserve"> of </w:t>
    </w:r>
    <w:r w:rsidR="00682781" w:rsidRPr="003364AA">
      <w:rPr>
        <w:rFonts w:ascii="Tahoma" w:hAnsi="Tahoma" w:cs="Tahoma"/>
        <w:b/>
        <w:i/>
        <w:sz w:val="16"/>
        <w:szCs w:val="16"/>
      </w:rPr>
      <w:fldChar w:fldCharType="begin"/>
    </w:r>
    <w:r w:rsidR="00682781" w:rsidRPr="003364AA">
      <w:rPr>
        <w:rFonts w:ascii="Tahoma" w:hAnsi="Tahoma" w:cs="Tahoma"/>
        <w:b/>
        <w:i/>
        <w:sz w:val="16"/>
        <w:szCs w:val="16"/>
      </w:rPr>
      <w:instrText xml:space="preserve"> NUMPAGES  \* Arabic  \* MERGEFORMAT </w:instrText>
    </w:r>
    <w:r w:rsidR="00682781" w:rsidRPr="003364AA">
      <w:rPr>
        <w:rFonts w:ascii="Tahoma" w:hAnsi="Tahoma" w:cs="Tahoma"/>
        <w:b/>
        <w:i/>
        <w:sz w:val="16"/>
        <w:szCs w:val="16"/>
      </w:rPr>
      <w:fldChar w:fldCharType="separate"/>
    </w:r>
    <w:r w:rsidR="00B343B5">
      <w:rPr>
        <w:rFonts w:ascii="Tahoma" w:hAnsi="Tahoma" w:cs="Tahoma"/>
        <w:b/>
        <w:i/>
        <w:noProof/>
        <w:sz w:val="16"/>
        <w:szCs w:val="16"/>
      </w:rPr>
      <w:t>9</w:t>
    </w:r>
    <w:r w:rsidR="00682781" w:rsidRPr="003364AA">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A0B" w:rsidRPr="00513F04" w:rsidRDefault="000D4A0B" w:rsidP="0057466F">
    <w:pPr>
      <w:pStyle w:val="Footer"/>
      <w:rPr>
        <w:rStyle w:val="LogoportDoNotTranslate"/>
        <w:rFonts w:ascii="Tahoma" w:hAnsi="Tahoma" w:cs="Tahoma"/>
        <w:sz w:val="16"/>
        <w:szCs w:val="16"/>
      </w:rPr>
    </w:pPr>
    <w:r w:rsidRPr="00513F04">
      <w:rPr>
        <w:rFonts w:ascii="Tahoma" w:hAnsi="Tahoma" w:cs="Tahoma"/>
        <w:b/>
        <w:i/>
        <w:sz w:val="16"/>
        <w:szCs w:val="16"/>
      </w:rPr>
      <w:t>Consolidated SLA (</w:t>
    </w:r>
    <w:r w:rsidR="00FF1E09" w:rsidRPr="00513F04">
      <w:rPr>
        <w:rFonts w:ascii="Tahoma" w:hAnsi="Tahoma" w:cs="Tahoma"/>
        <w:b/>
        <w:i/>
        <w:sz w:val="16"/>
        <w:szCs w:val="16"/>
      </w:rPr>
      <w:t>German</w:t>
    </w:r>
    <w:r w:rsidRPr="00513F04">
      <w:rPr>
        <w:rFonts w:ascii="Tahoma" w:hAnsi="Tahoma" w:cs="Tahoma"/>
        <w:b/>
        <w:i/>
        <w:sz w:val="16"/>
        <w:szCs w:val="16"/>
      </w:rPr>
      <w:t>)</w:t>
    </w:r>
    <w:r w:rsidRPr="00513F04">
      <w:rPr>
        <w:rStyle w:val="LogoportDoNotTranslate"/>
        <w:rFonts w:ascii="Tahoma" w:hAnsi="Tahoma" w:cs="Tahoma"/>
        <w:sz w:val="16"/>
        <w:szCs w:val="16"/>
      </w:rPr>
      <w:tab/>
    </w:r>
    <w:r w:rsidRPr="00513F04">
      <w:rPr>
        <w:rFonts w:ascii="Tahoma" w:hAnsi="Tahoma" w:cs="Tahoma"/>
        <w:b/>
        <w:i/>
        <w:sz w:val="16"/>
        <w:szCs w:val="16"/>
      </w:rPr>
      <w:t>January 2014</w:t>
    </w:r>
    <w:r w:rsidRPr="00513F04">
      <w:rPr>
        <w:rStyle w:val="LogoportDoNotTranslate"/>
        <w:rFonts w:ascii="Tahoma" w:hAnsi="Tahoma" w:cs="Tahoma"/>
        <w:sz w:val="16"/>
        <w:szCs w:val="16"/>
      </w:rPr>
      <w:tab/>
    </w:r>
    <w:r w:rsidRPr="00513F04">
      <w:rPr>
        <w:rFonts w:ascii="Tahoma" w:hAnsi="Tahoma" w:cs="Tahoma"/>
        <w:b/>
        <w:i/>
        <w:sz w:val="16"/>
        <w:szCs w:val="16"/>
      </w:rPr>
      <w:t>Page</w:t>
    </w:r>
    <w:r w:rsidRPr="00513F04">
      <w:rPr>
        <w:rStyle w:val="LogoportDoNotTranslate"/>
        <w:rFonts w:ascii="Tahoma" w:hAnsi="Tahoma" w:cs="Tahoma"/>
        <w:sz w:val="16"/>
        <w:szCs w:val="16"/>
      </w:rPr>
      <w:t xml:space="preserve"> </w:t>
    </w:r>
    <w:r w:rsidRPr="00513F04">
      <w:rPr>
        <w:rFonts w:ascii="Tahoma" w:hAnsi="Tahoma" w:cs="Tahoma"/>
        <w:b/>
        <w:i/>
        <w:sz w:val="16"/>
        <w:szCs w:val="16"/>
      </w:rPr>
      <w:fldChar w:fldCharType="begin"/>
    </w:r>
    <w:r w:rsidRPr="00513F04">
      <w:rPr>
        <w:rFonts w:ascii="Tahoma" w:hAnsi="Tahoma" w:cs="Tahoma"/>
        <w:b/>
        <w:i/>
        <w:sz w:val="16"/>
        <w:szCs w:val="16"/>
      </w:rPr>
      <w:instrText xml:space="preserve"> PAGE  \* Arabic  \* MERGEFORMAT </w:instrText>
    </w:r>
    <w:r w:rsidRPr="00513F04">
      <w:rPr>
        <w:rFonts w:ascii="Tahoma" w:hAnsi="Tahoma" w:cs="Tahoma"/>
        <w:b/>
        <w:i/>
        <w:sz w:val="16"/>
        <w:szCs w:val="16"/>
      </w:rPr>
      <w:fldChar w:fldCharType="separate"/>
    </w:r>
    <w:r w:rsidR="00B343B5">
      <w:rPr>
        <w:rFonts w:ascii="Tahoma" w:hAnsi="Tahoma" w:cs="Tahoma"/>
        <w:b/>
        <w:i/>
        <w:noProof/>
        <w:sz w:val="16"/>
        <w:szCs w:val="16"/>
      </w:rPr>
      <w:t>1</w:t>
    </w:r>
    <w:r w:rsidRPr="00513F04">
      <w:rPr>
        <w:rFonts w:ascii="Tahoma" w:hAnsi="Tahoma" w:cs="Tahoma"/>
        <w:b/>
        <w:i/>
        <w:sz w:val="16"/>
        <w:szCs w:val="16"/>
      </w:rPr>
      <w:fldChar w:fldCharType="end"/>
    </w:r>
    <w:r w:rsidRPr="00513F04">
      <w:rPr>
        <w:rFonts w:ascii="Tahoma" w:hAnsi="Tahoma" w:cs="Tahoma"/>
        <w:b/>
        <w:i/>
        <w:sz w:val="16"/>
        <w:szCs w:val="16"/>
      </w:rPr>
      <w:t xml:space="preserve"> of </w:t>
    </w:r>
    <w:r w:rsidR="00BA379D" w:rsidRPr="00513F04">
      <w:rPr>
        <w:rFonts w:ascii="Tahoma" w:hAnsi="Tahoma" w:cs="Tahoma"/>
        <w:b/>
        <w:i/>
        <w:sz w:val="16"/>
        <w:szCs w:val="16"/>
      </w:rPr>
      <w:fldChar w:fldCharType="begin"/>
    </w:r>
    <w:r w:rsidR="00BA379D" w:rsidRPr="00513F04">
      <w:rPr>
        <w:rFonts w:ascii="Tahoma" w:hAnsi="Tahoma" w:cs="Tahoma"/>
        <w:b/>
        <w:i/>
        <w:sz w:val="16"/>
        <w:szCs w:val="16"/>
      </w:rPr>
      <w:instrText xml:space="preserve"> NUMPAGES  \* Arabic  \* MERGEFORMAT </w:instrText>
    </w:r>
    <w:r w:rsidR="00BA379D" w:rsidRPr="00513F04">
      <w:rPr>
        <w:rFonts w:ascii="Tahoma" w:hAnsi="Tahoma" w:cs="Tahoma"/>
        <w:b/>
        <w:i/>
        <w:sz w:val="16"/>
        <w:szCs w:val="16"/>
      </w:rPr>
      <w:fldChar w:fldCharType="separate"/>
    </w:r>
    <w:r w:rsidR="00B343B5">
      <w:rPr>
        <w:rFonts w:ascii="Tahoma" w:hAnsi="Tahoma" w:cs="Tahoma"/>
        <w:b/>
        <w:i/>
        <w:noProof/>
        <w:sz w:val="16"/>
        <w:szCs w:val="16"/>
      </w:rPr>
      <w:t>9</w:t>
    </w:r>
    <w:r w:rsidR="00BA379D" w:rsidRPr="00513F04">
      <w:rPr>
        <w:rFonts w:ascii="Tahoma" w:hAnsi="Tahoma" w:cs="Tahoma"/>
        <w:b/>
        <w:i/>
        <w:sz w:val="16"/>
        <w:szCs w:val="16"/>
      </w:rPr>
      <w:fldChar w:fldCharType="end"/>
    </w:r>
  </w:p>
  <w:p w:rsidR="000D4A0B" w:rsidRPr="00513F04" w:rsidRDefault="000D4A0B">
    <w:pPr>
      <w:pStyle w:val="Footer"/>
      <w:rPr>
        <w:rStyle w:val="LogoportDoNotTranslate"/>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D64" w:rsidRDefault="00F95D64" w:rsidP="003E73B2">
      <w:r>
        <w:separator/>
      </w:r>
    </w:p>
  </w:footnote>
  <w:footnote w:type="continuationSeparator" w:id="0">
    <w:p w:rsidR="00F95D64" w:rsidRDefault="00F95D64"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F75" w:rsidRDefault="00CD3F75" w:rsidP="00CD3F75">
    <w:pPr>
      <w:pStyle w:val="Header"/>
    </w:pPr>
    <w:r>
      <w:rPr>
        <w:noProof/>
      </w:rPr>
      <w:drawing>
        <wp:inline distT="0" distB="0" distL="0" distR="0" wp14:anchorId="7CD2AB0C" wp14:editId="38F8F467">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E634E0EC"/>
    <w:lvl w:ilvl="0" w:tplc="3CF285B6">
      <w:start w:val="1"/>
      <w:numFmt w:val="low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ED7C4264"/>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E8C1ED8"/>
    <w:multiLevelType w:val="hybridMultilevel"/>
    <w:tmpl w:val="DD2EE8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6441AE9"/>
    <w:multiLevelType w:val="hybridMultilevel"/>
    <w:tmpl w:val="3418F640"/>
    <w:lvl w:ilvl="0" w:tplc="A90A51F4">
      <w:start w:val="1"/>
      <w:numFmt w:val="lowerLetter"/>
      <w:lvlText w:val="(%1)"/>
      <w:lvlJc w:val="left"/>
      <w:pPr>
        <w:ind w:left="720" w:hanging="360"/>
      </w:pPr>
      <w:rPr>
        <w:rFonts w:cs="Times New Roman" w:hint="default"/>
        <w:b/>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2">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334564C"/>
    <w:multiLevelType w:val="hybridMultilevel"/>
    <w:tmpl w:val="4498D3B0"/>
    <w:lvl w:ilvl="0" w:tplc="DDE63B4C">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9FC4C0E6">
      <w:start w:val="1"/>
      <w:numFmt w:val="lowerLetter"/>
      <w:lvlText w:val="%4."/>
      <w:lvlJc w:val="left"/>
      <w:pPr>
        <w:ind w:left="1620" w:hanging="360"/>
      </w:pPr>
      <w:rPr>
        <w:rFonts w:cs="Times New Roman"/>
        <w:sz w:val="22"/>
        <w:szCs w:val="22"/>
      </w:rPr>
    </w:lvl>
    <w:lvl w:ilvl="4" w:tplc="A71ED75C">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6">
    <w:nsid w:val="5AC7542D"/>
    <w:multiLevelType w:val="hybridMultilevel"/>
    <w:tmpl w:val="38DCD35A"/>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D6E475A6">
      <w:start w:val="1"/>
      <w:numFmt w:val="lowerLetter"/>
      <w:lvlText w:val="%3."/>
      <w:lvlJc w:val="left"/>
      <w:pPr>
        <w:ind w:left="1260" w:hanging="180"/>
      </w:pPr>
      <w:rPr>
        <w:rFonts w:cs="Times New Roman"/>
        <w:sz w:val="22"/>
        <w:szCs w:val="22"/>
      </w:rPr>
    </w:lvl>
    <w:lvl w:ilvl="3" w:tplc="04090019">
      <w:start w:val="1"/>
      <w:numFmt w:val="lowerLetter"/>
      <w:lvlText w:val="%4."/>
      <w:lvlJc w:val="left"/>
      <w:pPr>
        <w:ind w:left="1260" w:hanging="360"/>
      </w:pPr>
      <w:rPr>
        <w:rFonts w:cs="Times New Roman"/>
      </w:rPr>
    </w:lvl>
    <w:lvl w:ilvl="4" w:tplc="D9B6B786">
      <w:start w:val="1"/>
      <w:numFmt w:val="decimal"/>
      <w:lvlText w:val="%5."/>
      <w:lvlJc w:val="left"/>
      <w:pPr>
        <w:ind w:left="1710" w:hanging="360"/>
      </w:pPr>
      <w:rPr>
        <w:rFonts w:cs="Times New Roman"/>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12938D1"/>
    <w:multiLevelType w:val="hybridMultilevel"/>
    <w:tmpl w:val="A08E0E48"/>
    <w:lvl w:ilvl="0" w:tplc="1BF27462">
      <w:start w:val="1"/>
      <w:numFmt w:val="lowerLetter"/>
      <w:lvlText w:val="%1."/>
      <w:lvlJc w:val="left"/>
      <w:pPr>
        <w:ind w:left="2340" w:hanging="360"/>
      </w:pPr>
      <w:rPr>
        <w:rFonts w:cs="Times New Roman"/>
        <w:sz w:val="22"/>
        <w:szCs w:val="22"/>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8">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0">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283E72"/>
    <w:multiLevelType w:val="hybridMultilevel"/>
    <w:tmpl w:val="917242AA"/>
    <w:lvl w:ilvl="0" w:tplc="E9E46F7A">
      <w:start w:val="1"/>
      <w:numFmt w:val="decimal"/>
      <w:lvlText w:val="%1."/>
      <w:lvlJc w:val="left"/>
      <w:pPr>
        <w:ind w:left="1080" w:hanging="360"/>
      </w:pPr>
      <w:rPr>
        <w:rFonts w:cs="Times New Roman" w:hint="default"/>
        <w:sz w:val="22"/>
        <w:szCs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CD747F76"/>
    <w:lvl w:ilvl="0" w:tplc="5F1E762C">
      <w:start w:val="1"/>
      <w:numFmt w:val="decimal"/>
      <w:lvlText w:val="%1."/>
      <w:lvlJc w:val="left"/>
      <w:pPr>
        <w:ind w:left="1440" w:hanging="360"/>
      </w:pPr>
      <w:rPr>
        <w:rFonts w:cs="Times New Roman"/>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7C8A0F20"/>
    <w:multiLevelType w:val="multilevel"/>
    <w:tmpl w:val="A8203E38"/>
    <w:lvl w:ilvl="0">
      <w:start w:val="1"/>
      <w:numFmt w:val="decimal"/>
      <w:lvlText w:val="%1."/>
      <w:lvlJc w:val="left"/>
      <w:pPr>
        <w:ind w:left="360" w:hanging="360"/>
      </w:pPr>
      <w:rPr>
        <w:rFonts w:cs="Times New Roman" w:hint="default"/>
        <w:b/>
        <w:sz w:val="22"/>
        <w:szCs w:val="22"/>
      </w:rPr>
    </w:lvl>
    <w:lvl w:ilvl="1">
      <w:start w:val="1"/>
      <w:numFmt w:val="lowerLetter"/>
      <w:lvlText w:val="(%2)"/>
      <w:lvlJc w:val="left"/>
      <w:pPr>
        <w:ind w:left="720" w:hanging="360"/>
      </w:pPr>
      <w:rPr>
        <w:rFonts w:cs="Times New Roman" w:hint="default"/>
        <w:b/>
        <w:bCs/>
        <w:sz w:val="22"/>
        <w:szCs w:val="22"/>
      </w:rPr>
    </w:lvl>
    <w:lvl w:ilvl="2">
      <w:start w:val="1"/>
      <w:numFmt w:val="decimal"/>
      <w:lvlText w:val="%3."/>
      <w:lvlJc w:val="left"/>
      <w:pPr>
        <w:ind w:left="1350" w:hanging="180"/>
      </w:pPr>
      <w:rPr>
        <w:rFonts w:cs="Times New Roman" w:hint="default"/>
        <w:b w:val="0"/>
        <w:sz w:val="22"/>
        <w:szCs w:val="22"/>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5"/>
  </w:num>
  <w:num w:numId="4">
    <w:abstractNumId w:val="10"/>
  </w:num>
  <w:num w:numId="5">
    <w:abstractNumId w:val="14"/>
  </w:num>
  <w:num w:numId="6">
    <w:abstractNumId w:val="15"/>
  </w:num>
  <w:num w:numId="7">
    <w:abstractNumId w:val="24"/>
  </w:num>
  <w:num w:numId="8">
    <w:abstractNumId w:val="19"/>
  </w:num>
  <w:num w:numId="9">
    <w:abstractNumId w:val="3"/>
  </w:num>
  <w:num w:numId="10">
    <w:abstractNumId w:val="18"/>
  </w:num>
  <w:num w:numId="11">
    <w:abstractNumId w:val="9"/>
  </w:num>
  <w:num w:numId="12">
    <w:abstractNumId w:val="16"/>
  </w:num>
  <w:num w:numId="13">
    <w:abstractNumId w:val="13"/>
  </w:num>
  <w:num w:numId="14">
    <w:abstractNumId w:val="6"/>
  </w:num>
  <w:num w:numId="15">
    <w:abstractNumId w:val="1"/>
  </w:num>
  <w:num w:numId="16">
    <w:abstractNumId w:val="7"/>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1"/>
  </w:num>
  <w:num w:numId="19">
    <w:abstractNumId w:val="12"/>
  </w:num>
  <w:num w:numId="20">
    <w:abstractNumId w:val="20"/>
  </w:num>
  <w:num w:numId="21">
    <w:abstractNumId w:val="8"/>
  </w:num>
  <w:num w:numId="22">
    <w:abstractNumId w:val="23"/>
  </w:num>
  <w:num w:numId="23">
    <w:abstractNumId w:val="17"/>
  </w:num>
  <w:num w:numId="24">
    <w:abstractNumId w:val="1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tBbsg8F48N4ColdkUDsVg+AR5SbNlGYCGxKSd1CmLZg6FCFDymjbiDDGCq2bWdzoiwJd5AJeysTG8nnoQtBfQ==" w:salt="WBhE5YAwcV7a719p1opPpA=="/>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23AC"/>
    <w:rsid w:val="0000565F"/>
    <w:rsid w:val="000149F7"/>
    <w:rsid w:val="00014F60"/>
    <w:rsid w:val="00016598"/>
    <w:rsid w:val="00025C9B"/>
    <w:rsid w:val="000315AC"/>
    <w:rsid w:val="00033354"/>
    <w:rsid w:val="00035863"/>
    <w:rsid w:val="00041888"/>
    <w:rsid w:val="000428FB"/>
    <w:rsid w:val="000452AB"/>
    <w:rsid w:val="00047E3E"/>
    <w:rsid w:val="000522D3"/>
    <w:rsid w:val="000534F2"/>
    <w:rsid w:val="00053FDA"/>
    <w:rsid w:val="00055B69"/>
    <w:rsid w:val="00055F70"/>
    <w:rsid w:val="00064872"/>
    <w:rsid w:val="00064D7A"/>
    <w:rsid w:val="0007065F"/>
    <w:rsid w:val="000735FC"/>
    <w:rsid w:val="00074734"/>
    <w:rsid w:val="00075740"/>
    <w:rsid w:val="00080BAE"/>
    <w:rsid w:val="00084612"/>
    <w:rsid w:val="000914C4"/>
    <w:rsid w:val="00091946"/>
    <w:rsid w:val="000B0946"/>
    <w:rsid w:val="000B32C1"/>
    <w:rsid w:val="000C6CBD"/>
    <w:rsid w:val="000D28CE"/>
    <w:rsid w:val="000D4A0B"/>
    <w:rsid w:val="000D4DFD"/>
    <w:rsid w:val="000E160B"/>
    <w:rsid w:val="000E1FC2"/>
    <w:rsid w:val="000E26EC"/>
    <w:rsid w:val="000E432F"/>
    <w:rsid w:val="000E70A7"/>
    <w:rsid w:val="000F4C4D"/>
    <w:rsid w:val="00102988"/>
    <w:rsid w:val="00103F4D"/>
    <w:rsid w:val="00111081"/>
    <w:rsid w:val="00112A0A"/>
    <w:rsid w:val="00113BD7"/>
    <w:rsid w:val="00114527"/>
    <w:rsid w:val="00121F60"/>
    <w:rsid w:val="001221F3"/>
    <w:rsid w:val="001260F2"/>
    <w:rsid w:val="00133306"/>
    <w:rsid w:val="001377B8"/>
    <w:rsid w:val="00151886"/>
    <w:rsid w:val="00153244"/>
    <w:rsid w:val="0015435F"/>
    <w:rsid w:val="00156286"/>
    <w:rsid w:val="00156D8F"/>
    <w:rsid w:val="001633AA"/>
    <w:rsid w:val="001652B9"/>
    <w:rsid w:val="00165546"/>
    <w:rsid w:val="00172929"/>
    <w:rsid w:val="00172AC0"/>
    <w:rsid w:val="0017599D"/>
    <w:rsid w:val="001769E0"/>
    <w:rsid w:val="001779DA"/>
    <w:rsid w:val="00195E83"/>
    <w:rsid w:val="001A21F4"/>
    <w:rsid w:val="001A5D49"/>
    <w:rsid w:val="001B41A2"/>
    <w:rsid w:val="001B67F2"/>
    <w:rsid w:val="001B718F"/>
    <w:rsid w:val="001C03F3"/>
    <w:rsid w:val="001C10F5"/>
    <w:rsid w:val="001C3202"/>
    <w:rsid w:val="001C5B44"/>
    <w:rsid w:val="001C69D2"/>
    <w:rsid w:val="001D6164"/>
    <w:rsid w:val="001E1195"/>
    <w:rsid w:val="001E1EEF"/>
    <w:rsid w:val="001E1F24"/>
    <w:rsid w:val="001E294A"/>
    <w:rsid w:val="001E2FF4"/>
    <w:rsid w:val="001F01F4"/>
    <w:rsid w:val="001F2462"/>
    <w:rsid w:val="001F5A66"/>
    <w:rsid w:val="002079B8"/>
    <w:rsid w:val="00214B1E"/>
    <w:rsid w:val="00223BEB"/>
    <w:rsid w:val="00226657"/>
    <w:rsid w:val="002305FE"/>
    <w:rsid w:val="002335F2"/>
    <w:rsid w:val="00244FCB"/>
    <w:rsid w:val="0024539F"/>
    <w:rsid w:val="0025184D"/>
    <w:rsid w:val="002518FB"/>
    <w:rsid w:val="00261678"/>
    <w:rsid w:val="00261B16"/>
    <w:rsid w:val="00265078"/>
    <w:rsid w:val="00267990"/>
    <w:rsid w:val="0027691E"/>
    <w:rsid w:val="002806E5"/>
    <w:rsid w:val="00281493"/>
    <w:rsid w:val="002827E8"/>
    <w:rsid w:val="002848E5"/>
    <w:rsid w:val="002858B6"/>
    <w:rsid w:val="00287107"/>
    <w:rsid w:val="00296A78"/>
    <w:rsid w:val="002A298A"/>
    <w:rsid w:val="002A46A0"/>
    <w:rsid w:val="002B0911"/>
    <w:rsid w:val="002B0EAD"/>
    <w:rsid w:val="002B1972"/>
    <w:rsid w:val="002B2542"/>
    <w:rsid w:val="002B35E8"/>
    <w:rsid w:val="002B6B27"/>
    <w:rsid w:val="002C03BF"/>
    <w:rsid w:val="002C3FFC"/>
    <w:rsid w:val="002C406C"/>
    <w:rsid w:val="002C567E"/>
    <w:rsid w:val="002C6FF6"/>
    <w:rsid w:val="002C7F4D"/>
    <w:rsid w:val="002D0078"/>
    <w:rsid w:val="002D0868"/>
    <w:rsid w:val="002D51F5"/>
    <w:rsid w:val="002E7163"/>
    <w:rsid w:val="002F1EF4"/>
    <w:rsid w:val="002F37EC"/>
    <w:rsid w:val="002F467E"/>
    <w:rsid w:val="00303B25"/>
    <w:rsid w:val="003058C6"/>
    <w:rsid w:val="00306DE8"/>
    <w:rsid w:val="003108C3"/>
    <w:rsid w:val="00310A13"/>
    <w:rsid w:val="0031153A"/>
    <w:rsid w:val="00312D88"/>
    <w:rsid w:val="00314E38"/>
    <w:rsid w:val="0032045E"/>
    <w:rsid w:val="00322F01"/>
    <w:rsid w:val="00325737"/>
    <w:rsid w:val="00327093"/>
    <w:rsid w:val="00327DE0"/>
    <w:rsid w:val="00331FEA"/>
    <w:rsid w:val="003364AA"/>
    <w:rsid w:val="00341973"/>
    <w:rsid w:val="00341EFB"/>
    <w:rsid w:val="00352C31"/>
    <w:rsid w:val="003676A4"/>
    <w:rsid w:val="00367B90"/>
    <w:rsid w:val="0038264C"/>
    <w:rsid w:val="0038546B"/>
    <w:rsid w:val="0038600D"/>
    <w:rsid w:val="00386EDC"/>
    <w:rsid w:val="00387F2A"/>
    <w:rsid w:val="0039080B"/>
    <w:rsid w:val="00391596"/>
    <w:rsid w:val="003934EA"/>
    <w:rsid w:val="00396F5D"/>
    <w:rsid w:val="00397244"/>
    <w:rsid w:val="00397379"/>
    <w:rsid w:val="003A27F6"/>
    <w:rsid w:val="003A5054"/>
    <w:rsid w:val="003A55A6"/>
    <w:rsid w:val="003A587D"/>
    <w:rsid w:val="003A5F6B"/>
    <w:rsid w:val="003A7654"/>
    <w:rsid w:val="003B0311"/>
    <w:rsid w:val="003B2BCE"/>
    <w:rsid w:val="003B2C16"/>
    <w:rsid w:val="003B329E"/>
    <w:rsid w:val="003B76F4"/>
    <w:rsid w:val="003C700C"/>
    <w:rsid w:val="003D00A5"/>
    <w:rsid w:val="003D2F39"/>
    <w:rsid w:val="003D39B3"/>
    <w:rsid w:val="003D5259"/>
    <w:rsid w:val="003E19D2"/>
    <w:rsid w:val="003E73B2"/>
    <w:rsid w:val="003E781B"/>
    <w:rsid w:val="003F31C3"/>
    <w:rsid w:val="003F3D85"/>
    <w:rsid w:val="003F46BE"/>
    <w:rsid w:val="003F621F"/>
    <w:rsid w:val="003F6327"/>
    <w:rsid w:val="003F6F7D"/>
    <w:rsid w:val="003F7DC1"/>
    <w:rsid w:val="00400389"/>
    <w:rsid w:val="00400CD8"/>
    <w:rsid w:val="00402DBF"/>
    <w:rsid w:val="00405474"/>
    <w:rsid w:val="00411160"/>
    <w:rsid w:val="00411DA7"/>
    <w:rsid w:val="00415E09"/>
    <w:rsid w:val="004215DC"/>
    <w:rsid w:val="00425C4F"/>
    <w:rsid w:val="00430CE9"/>
    <w:rsid w:val="00431708"/>
    <w:rsid w:val="00432C75"/>
    <w:rsid w:val="0044015F"/>
    <w:rsid w:val="00450CE1"/>
    <w:rsid w:val="004528E7"/>
    <w:rsid w:val="00452FB6"/>
    <w:rsid w:val="0045345E"/>
    <w:rsid w:val="004538D8"/>
    <w:rsid w:val="004548A6"/>
    <w:rsid w:val="00457DF0"/>
    <w:rsid w:val="00467F08"/>
    <w:rsid w:val="004707A7"/>
    <w:rsid w:val="004765C7"/>
    <w:rsid w:val="00476F55"/>
    <w:rsid w:val="00480B37"/>
    <w:rsid w:val="00482A1C"/>
    <w:rsid w:val="00482CEA"/>
    <w:rsid w:val="00484A7A"/>
    <w:rsid w:val="00485DC0"/>
    <w:rsid w:val="00492160"/>
    <w:rsid w:val="004A0AB3"/>
    <w:rsid w:val="004A1A88"/>
    <w:rsid w:val="004A1FD9"/>
    <w:rsid w:val="004A385A"/>
    <w:rsid w:val="004A42DE"/>
    <w:rsid w:val="004B671E"/>
    <w:rsid w:val="004C1593"/>
    <w:rsid w:val="004C5913"/>
    <w:rsid w:val="004C636B"/>
    <w:rsid w:val="004C765F"/>
    <w:rsid w:val="004D435A"/>
    <w:rsid w:val="004E0B66"/>
    <w:rsid w:val="004E506C"/>
    <w:rsid w:val="004E5077"/>
    <w:rsid w:val="004E5AB3"/>
    <w:rsid w:val="004F10AA"/>
    <w:rsid w:val="004F44CC"/>
    <w:rsid w:val="004F664B"/>
    <w:rsid w:val="004F7C09"/>
    <w:rsid w:val="00500D9D"/>
    <w:rsid w:val="00506600"/>
    <w:rsid w:val="00510A4A"/>
    <w:rsid w:val="0051219B"/>
    <w:rsid w:val="0051241B"/>
    <w:rsid w:val="00512AF3"/>
    <w:rsid w:val="00513D72"/>
    <w:rsid w:val="00513F04"/>
    <w:rsid w:val="0051540D"/>
    <w:rsid w:val="0051568A"/>
    <w:rsid w:val="00520ED8"/>
    <w:rsid w:val="00523F25"/>
    <w:rsid w:val="00524F64"/>
    <w:rsid w:val="0052791F"/>
    <w:rsid w:val="0053605C"/>
    <w:rsid w:val="005429D3"/>
    <w:rsid w:val="00550E06"/>
    <w:rsid w:val="00555A89"/>
    <w:rsid w:val="00557326"/>
    <w:rsid w:val="00557E5C"/>
    <w:rsid w:val="0056554B"/>
    <w:rsid w:val="0057048D"/>
    <w:rsid w:val="00572A4D"/>
    <w:rsid w:val="00574183"/>
    <w:rsid w:val="0057466F"/>
    <w:rsid w:val="005756A2"/>
    <w:rsid w:val="00576084"/>
    <w:rsid w:val="005771EB"/>
    <w:rsid w:val="005831BE"/>
    <w:rsid w:val="00583749"/>
    <w:rsid w:val="005876FB"/>
    <w:rsid w:val="00587D87"/>
    <w:rsid w:val="00590125"/>
    <w:rsid w:val="005A138B"/>
    <w:rsid w:val="005A2F28"/>
    <w:rsid w:val="005B5E6D"/>
    <w:rsid w:val="005C11C9"/>
    <w:rsid w:val="005C52EC"/>
    <w:rsid w:val="005C6D2F"/>
    <w:rsid w:val="005D01F7"/>
    <w:rsid w:val="005D4BB8"/>
    <w:rsid w:val="005D5E90"/>
    <w:rsid w:val="005E0AD7"/>
    <w:rsid w:val="005E3B2A"/>
    <w:rsid w:val="005E7AFB"/>
    <w:rsid w:val="005F06C8"/>
    <w:rsid w:val="005F07F6"/>
    <w:rsid w:val="005F3887"/>
    <w:rsid w:val="005F49E4"/>
    <w:rsid w:val="005F4D85"/>
    <w:rsid w:val="005F59DA"/>
    <w:rsid w:val="00602D47"/>
    <w:rsid w:val="0061015A"/>
    <w:rsid w:val="0061120D"/>
    <w:rsid w:val="006131F0"/>
    <w:rsid w:val="00622EB7"/>
    <w:rsid w:val="00624283"/>
    <w:rsid w:val="006268E6"/>
    <w:rsid w:val="00627D84"/>
    <w:rsid w:val="0063585F"/>
    <w:rsid w:val="00637C9E"/>
    <w:rsid w:val="00640B52"/>
    <w:rsid w:val="00646964"/>
    <w:rsid w:val="00652628"/>
    <w:rsid w:val="00654835"/>
    <w:rsid w:val="00662532"/>
    <w:rsid w:val="00662E54"/>
    <w:rsid w:val="00665ED5"/>
    <w:rsid w:val="0066768E"/>
    <w:rsid w:val="006718D8"/>
    <w:rsid w:val="006723E1"/>
    <w:rsid w:val="00673F84"/>
    <w:rsid w:val="006740DE"/>
    <w:rsid w:val="006748C4"/>
    <w:rsid w:val="00674DBE"/>
    <w:rsid w:val="006806D2"/>
    <w:rsid w:val="00682781"/>
    <w:rsid w:val="00683036"/>
    <w:rsid w:val="00691280"/>
    <w:rsid w:val="00691C6E"/>
    <w:rsid w:val="00693DFC"/>
    <w:rsid w:val="00696C9B"/>
    <w:rsid w:val="006A5A2F"/>
    <w:rsid w:val="006B201B"/>
    <w:rsid w:val="006C0C1B"/>
    <w:rsid w:val="006D5DC6"/>
    <w:rsid w:val="006D6D58"/>
    <w:rsid w:val="006E1E1A"/>
    <w:rsid w:val="006E2871"/>
    <w:rsid w:val="006E663F"/>
    <w:rsid w:val="006E77C1"/>
    <w:rsid w:val="006F37DC"/>
    <w:rsid w:val="006F782E"/>
    <w:rsid w:val="00701856"/>
    <w:rsid w:val="0072097B"/>
    <w:rsid w:val="0073272B"/>
    <w:rsid w:val="00735F86"/>
    <w:rsid w:val="00737C08"/>
    <w:rsid w:val="00740906"/>
    <w:rsid w:val="0074151E"/>
    <w:rsid w:val="00741956"/>
    <w:rsid w:val="00741C71"/>
    <w:rsid w:val="00743A61"/>
    <w:rsid w:val="00743B14"/>
    <w:rsid w:val="00743B36"/>
    <w:rsid w:val="007463CA"/>
    <w:rsid w:val="007538C3"/>
    <w:rsid w:val="007544CC"/>
    <w:rsid w:val="00756DEA"/>
    <w:rsid w:val="00765CA8"/>
    <w:rsid w:val="007731BC"/>
    <w:rsid w:val="00773EF2"/>
    <w:rsid w:val="007758B9"/>
    <w:rsid w:val="007761D3"/>
    <w:rsid w:val="00777FA3"/>
    <w:rsid w:val="00780084"/>
    <w:rsid w:val="0078054C"/>
    <w:rsid w:val="00781A62"/>
    <w:rsid w:val="00783837"/>
    <w:rsid w:val="007844D6"/>
    <w:rsid w:val="00791680"/>
    <w:rsid w:val="00794C7C"/>
    <w:rsid w:val="007952EB"/>
    <w:rsid w:val="00795873"/>
    <w:rsid w:val="0079685E"/>
    <w:rsid w:val="007A1B3B"/>
    <w:rsid w:val="007A21AE"/>
    <w:rsid w:val="007B3D0B"/>
    <w:rsid w:val="007B51FF"/>
    <w:rsid w:val="007B7D6A"/>
    <w:rsid w:val="007C2D51"/>
    <w:rsid w:val="007C714D"/>
    <w:rsid w:val="007C7668"/>
    <w:rsid w:val="007D518E"/>
    <w:rsid w:val="007D7450"/>
    <w:rsid w:val="007D7B02"/>
    <w:rsid w:val="007E61C4"/>
    <w:rsid w:val="007E7394"/>
    <w:rsid w:val="007E7486"/>
    <w:rsid w:val="007F4B3F"/>
    <w:rsid w:val="007F610E"/>
    <w:rsid w:val="0080209B"/>
    <w:rsid w:val="008063E7"/>
    <w:rsid w:val="00806E39"/>
    <w:rsid w:val="00812FD6"/>
    <w:rsid w:val="00821EED"/>
    <w:rsid w:val="00822548"/>
    <w:rsid w:val="00825A80"/>
    <w:rsid w:val="00826B30"/>
    <w:rsid w:val="0083019F"/>
    <w:rsid w:val="008313BC"/>
    <w:rsid w:val="00832D89"/>
    <w:rsid w:val="0083548A"/>
    <w:rsid w:val="0084108C"/>
    <w:rsid w:val="008426E5"/>
    <w:rsid w:val="00844D64"/>
    <w:rsid w:val="00845B16"/>
    <w:rsid w:val="00855412"/>
    <w:rsid w:val="00857834"/>
    <w:rsid w:val="00860FB2"/>
    <w:rsid w:val="008647CC"/>
    <w:rsid w:val="00867354"/>
    <w:rsid w:val="00885B29"/>
    <w:rsid w:val="00897BAB"/>
    <w:rsid w:val="008A2417"/>
    <w:rsid w:val="008B1AF7"/>
    <w:rsid w:val="008B2931"/>
    <w:rsid w:val="008C5AC5"/>
    <w:rsid w:val="008C6CF6"/>
    <w:rsid w:val="008C74FC"/>
    <w:rsid w:val="008C7B0D"/>
    <w:rsid w:val="008D2606"/>
    <w:rsid w:val="008D6C4F"/>
    <w:rsid w:val="008E5142"/>
    <w:rsid w:val="008E5B04"/>
    <w:rsid w:val="008E7833"/>
    <w:rsid w:val="008F0954"/>
    <w:rsid w:val="00900E56"/>
    <w:rsid w:val="00903AF2"/>
    <w:rsid w:val="009134A0"/>
    <w:rsid w:val="0091593F"/>
    <w:rsid w:val="00922CB6"/>
    <w:rsid w:val="00925391"/>
    <w:rsid w:val="009259A7"/>
    <w:rsid w:val="0092627D"/>
    <w:rsid w:val="00934ECE"/>
    <w:rsid w:val="0094618B"/>
    <w:rsid w:val="00947B28"/>
    <w:rsid w:val="00947EE5"/>
    <w:rsid w:val="00955CE6"/>
    <w:rsid w:val="0096534D"/>
    <w:rsid w:val="00972229"/>
    <w:rsid w:val="00980911"/>
    <w:rsid w:val="0098245E"/>
    <w:rsid w:val="00985B88"/>
    <w:rsid w:val="00994D0B"/>
    <w:rsid w:val="009A0A4E"/>
    <w:rsid w:val="009A174E"/>
    <w:rsid w:val="009A2AC8"/>
    <w:rsid w:val="009A33A3"/>
    <w:rsid w:val="009A4291"/>
    <w:rsid w:val="009A48EE"/>
    <w:rsid w:val="009B26BE"/>
    <w:rsid w:val="009B5E0D"/>
    <w:rsid w:val="009C24B4"/>
    <w:rsid w:val="009C4B94"/>
    <w:rsid w:val="009C5BFC"/>
    <w:rsid w:val="009D311D"/>
    <w:rsid w:val="009D3473"/>
    <w:rsid w:val="009E21E4"/>
    <w:rsid w:val="009E2248"/>
    <w:rsid w:val="009E43EC"/>
    <w:rsid w:val="009E59C5"/>
    <w:rsid w:val="009F421C"/>
    <w:rsid w:val="009F5154"/>
    <w:rsid w:val="009F62C1"/>
    <w:rsid w:val="00A02C21"/>
    <w:rsid w:val="00A039F0"/>
    <w:rsid w:val="00A047D1"/>
    <w:rsid w:val="00A0499D"/>
    <w:rsid w:val="00A054F3"/>
    <w:rsid w:val="00A131B9"/>
    <w:rsid w:val="00A139BF"/>
    <w:rsid w:val="00A23920"/>
    <w:rsid w:val="00A24E0D"/>
    <w:rsid w:val="00A3285A"/>
    <w:rsid w:val="00A358B7"/>
    <w:rsid w:val="00A37FA5"/>
    <w:rsid w:val="00A42D5D"/>
    <w:rsid w:val="00A432D6"/>
    <w:rsid w:val="00A46BB4"/>
    <w:rsid w:val="00A52610"/>
    <w:rsid w:val="00A53EE0"/>
    <w:rsid w:val="00A551E9"/>
    <w:rsid w:val="00A612CA"/>
    <w:rsid w:val="00A628E7"/>
    <w:rsid w:val="00A77112"/>
    <w:rsid w:val="00A80046"/>
    <w:rsid w:val="00A81725"/>
    <w:rsid w:val="00A831AA"/>
    <w:rsid w:val="00A84EA6"/>
    <w:rsid w:val="00A85EA6"/>
    <w:rsid w:val="00A86922"/>
    <w:rsid w:val="00A90BFB"/>
    <w:rsid w:val="00A91B06"/>
    <w:rsid w:val="00A92913"/>
    <w:rsid w:val="00AA06BB"/>
    <w:rsid w:val="00AA0E32"/>
    <w:rsid w:val="00AA43CD"/>
    <w:rsid w:val="00AB0727"/>
    <w:rsid w:val="00AB4F15"/>
    <w:rsid w:val="00AB58F4"/>
    <w:rsid w:val="00AB6C19"/>
    <w:rsid w:val="00AC556B"/>
    <w:rsid w:val="00AC6C74"/>
    <w:rsid w:val="00AD23CF"/>
    <w:rsid w:val="00AF20FC"/>
    <w:rsid w:val="00AF217F"/>
    <w:rsid w:val="00AF686A"/>
    <w:rsid w:val="00B0672D"/>
    <w:rsid w:val="00B069F2"/>
    <w:rsid w:val="00B07A62"/>
    <w:rsid w:val="00B101EE"/>
    <w:rsid w:val="00B125CD"/>
    <w:rsid w:val="00B13EF3"/>
    <w:rsid w:val="00B2474F"/>
    <w:rsid w:val="00B2676F"/>
    <w:rsid w:val="00B27E89"/>
    <w:rsid w:val="00B343B5"/>
    <w:rsid w:val="00B37263"/>
    <w:rsid w:val="00B44AC9"/>
    <w:rsid w:val="00B46E3E"/>
    <w:rsid w:val="00B536F7"/>
    <w:rsid w:val="00B56688"/>
    <w:rsid w:val="00B56A76"/>
    <w:rsid w:val="00B60D4C"/>
    <w:rsid w:val="00B63C2D"/>
    <w:rsid w:val="00B642C4"/>
    <w:rsid w:val="00B64553"/>
    <w:rsid w:val="00B64C92"/>
    <w:rsid w:val="00B65AF0"/>
    <w:rsid w:val="00B73422"/>
    <w:rsid w:val="00B74DCD"/>
    <w:rsid w:val="00B774C8"/>
    <w:rsid w:val="00B87F53"/>
    <w:rsid w:val="00B90A7A"/>
    <w:rsid w:val="00B92F4C"/>
    <w:rsid w:val="00B93563"/>
    <w:rsid w:val="00B97036"/>
    <w:rsid w:val="00BA379D"/>
    <w:rsid w:val="00BB0F82"/>
    <w:rsid w:val="00BB45A8"/>
    <w:rsid w:val="00BC187C"/>
    <w:rsid w:val="00BC2783"/>
    <w:rsid w:val="00BC67A0"/>
    <w:rsid w:val="00BC6AA1"/>
    <w:rsid w:val="00BD003D"/>
    <w:rsid w:val="00BD63CC"/>
    <w:rsid w:val="00BD7030"/>
    <w:rsid w:val="00BD70E2"/>
    <w:rsid w:val="00BD773A"/>
    <w:rsid w:val="00BE2414"/>
    <w:rsid w:val="00BF5187"/>
    <w:rsid w:val="00C0755A"/>
    <w:rsid w:val="00C105F1"/>
    <w:rsid w:val="00C12E59"/>
    <w:rsid w:val="00C14C1B"/>
    <w:rsid w:val="00C171C7"/>
    <w:rsid w:val="00C17827"/>
    <w:rsid w:val="00C218B7"/>
    <w:rsid w:val="00C24254"/>
    <w:rsid w:val="00C2459D"/>
    <w:rsid w:val="00C366CE"/>
    <w:rsid w:val="00C426F8"/>
    <w:rsid w:val="00C4670E"/>
    <w:rsid w:val="00C51E45"/>
    <w:rsid w:val="00C530B1"/>
    <w:rsid w:val="00C57503"/>
    <w:rsid w:val="00C57D0B"/>
    <w:rsid w:val="00C60322"/>
    <w:rsid w:val="00C61490"/>
    <w:rsid w:val="00C629EC"/>
    <w:rsid w:val="00C6348C"/>
    <w:rsid w:val="00C6369E"/>
    <w:rsid w:val="00C729CB"/>
    <w:rsid w:val="00C84A3F"/>
    <w:rsid w:val="00C85810"/>
    <w:rsid w:val="00C85BB8"/>
    <w:rsid w:val="00C86C7C"/>
    <w:rsid w:val="00C87F16"/>
    <w:rsid w:val="00C918F6"/>
    <w:rsid w:val="00CA14A1"/>
    <w:rsid w:val="00CA36C7"/>
    <w:rsid w:val="00CB0AF9"/>
    <w:rsid w:val="00CB2D28"/>
    <w:rsid w:val="00CC239F"/>
    <w:rsid w:val="00CC6343"/>
    <w:rsid w:val="00CD2FBD"/>
    <w:rsid w:val="00CD39C5"/>
    <w:rsid w:val="00CD3F75"/>
    <w:rsid w:val="00CE07F4"/>
    <w:rsid w:val="00CE1218"/>
    <w:rsid w:val="00CE31C1"/>
    <w:rsid w:val="00CE640A"/>
    <w:rsid w:val="00CF108C"/>
    <w:rsid w:val="00CF12F7"/>
    <w:rsid w:val="00CF335B"/>
    <w:rsid w:val="00D035DB"/>
    <w:rsid w:val="00D06D76"/>
    <w:rsid w:val="00D10B1F"/>
    <w:rsid w:val="00D16C3E"/>
    <w:rsid w:val="00D24121"/>
    <w:rsid w:val="00D27062"/>
    <w:rsid w:val="00D343B8"/>
    <w:rsid w:val="00D36BB8"/>
    <w:rsid w:val="00D379C2"/>
    <w:rsid w:val="00D408B5"/>
    <w:rsid w:val="00D43E82"/>
    <w:rsid w:val="00D4465A"/>
    <w:rsid w:val="00D465EA"/>
    <w:rsid w:val="00D51053"/>
    <w:rsid w:val="00D51582"/>
    <w:rsid w:val="00D51B60"/>
    <w:rsid w:val="00D53038"/>
    <w:rsid w:val="00D55BDE"/>
    <w:rsid w:val="00D565E4"/>
    <w:rsid w:val="00D5732C"/>
    <w:rsid w:val="00D57A17"/>
    <w:rsid w:val="00D601C5"/>
    <w:rsid w:val="00D670E5"/>
    <w:rsid w:val="00D751BC"/>
    <w:rsid w:val="00D77031"/>
    <w:rsid w:val="00D81898"/>
    <w:rsid w:val="00D8450B"/>
    <w:rsid w:val="00D85BEB"/>
    <w:rsid w:val="00DA415E"/>
    <w:rsid w:val="00DA62DA"/>
    <w:rsid w:val="00DB1F5E"/>
    <w:rsid w:val="00DB48E0"/>
    <w:rsid w:val="00DB7EBD"/>
    <w:rsid w:val="00DC095F"/>
    <w:rsid w:val="00DC37B8"/>
    <w:rsid w:val="00DC7CA4"/>
    <w:rsid w:val="00DD208F"/>
    <w:rsid w:val="00DD2AF1"/>
    <w:rsid w:val="00DD2F1D"/>
    <w:rsid w:val="00DD3792"/>
    <w:rsid w:val="00DD50E5"/>
    <w:rsid w:val="00DD5440"/>
    <w:rsid w:val="00DE5AA0"/>
    <w:rsid w:val="00DE5E25"/>
    <w:rsid w:val="00DF38F8"/>
    <w:rsid w:val="00E046EA"/>
    <w:rsid w:val="00E05B0A"/>
    <w:rsid w:val="00E06B59"/>
    <w:rsid w:val="00E1176A"/>
    <w:rsid w:val="00E11B6A"/>
    <w:rsid w:val="00E160CA"/>
    <w:rsid w:val="00E20CED"/>
    <w:rsid w:val="00E213BE"/>
    <w:rsid w:val="00E2432E"/>
    <w:rsid w:val="00E24A4A"/>
    <w:rsid w:val="00E3299F"/>
    <w:rsid w:val="00E333EC"/>
    <w:rsid w:val="00E3341F"/>
    <w:rsid w:val="00E3344D"/>
    <w:rsid w:val="00E33CA1"/>
    <w:rsid w:val="00E355E3"/>
    <w:rsid w:val="00E362F0"/>
    <w:rsid w:val="00E4063B"/>
    <w:rsid w:val="00E43205"/>
    <w:rsid w:val="00E456F3"/>
    <w:rsid w:val="00E50ED4"/>
    <w:rsid w:val="00E541B9"/>
    <w:rsid w:val="00E6188E"/>
    <w:rsid w:val="00E61E36"/>
    <w:rsid w:val="00E667F8"/>
    <w:rsid w:val="00E66A0C"/>
    <w:rsid w:val="00E66D4D"/>
    <w:rsid w:val="00E70284"/>
    <w:rsid w:val="00E74977"/>
    <w:rsid w:val="00E75D6A"/>
    <w:rsid w:val="00E77D3B"/>
    <w:rsid w:val="00E8011E"/>
    <w:rsid w:val="00E80BEE"/>
    <w:rsid w:val="00E8781D"/>
    <w:rsid w:val="00E974E2"/>
    <w:rsid w:val="00EA02CE"/>
    <w:rsid w:val="00EA275E"/>
    <w:rsid w:val="00EA29C2"/>
    <w:rsid w:val="00EA31F3"/>
    <w:rsid w:val="00EA323F"/>
    <w:rsid w:val="00EA777B"/>
    <w:rsid w:val="00EB41CA"/>
    <w:rsid w:val="00EB5E0A"/>
    <w:rsid w:val="00EC192E"/>
    <w:rsid w:val="00EC2CA1"/>
    <w:rsid w:val="00EC32B9"/>
    <w:rsid w:val="00EC51CC"/>
    <w:rsid w:val="00ED331E"/>
    <w:rsid w:val="00ED4E79"/>
    <w:rsid w:val="00EF0F62"/>
    <w:rsid w:val="00EF3EC9"/>
    <w:rsid w:val="00F033CD"/>
    <w:rsid w:val="00F038FB"/>
    <w:rsid w:val="00F046B1"/>
    <w:rsid w:val="00F04E0F"/>
    <w:rsid w:val="00F1062F"/>
    <w:rsid w:val="00F11736"/>
    <w:rsid w:val="00F158EA"/>
    <w:rsid w:val="00F17F8E"/>
    <w:rsid w:val="00F20C9E"/>
    <w:rsid w:val="00F24CA5"/>
    <w:rsid w:val="00F26D26"/>
    <w:rsid w:val="00F309C9"/>
    <w:rsid w:val="00F40B62"/>
    <w:rsid w:val="00F4166B"/>
    <w:rsid w:val="00F42FDA"/>
    <w:rsid w:val="00F455A4"/>
    <w:rsid w:val="00F464C5"/>
    <w:rsid w:val="00F51FEC"/>
    <w:rsid w:val="00F528E9"/>
    <w:rsid w:val="00F52A72"/>
    <w:rsid w:val="00F6060C"/>
    <w:rsid w:val="00F617EC"/>
    <w:rsid w:val="00F6290E"/>
    <w:rsid w:val="00F75786"/>
    <w:rsid w:val="00F82DF4"/>
    <w:rsid w:val="00F926DE"/>
    <w:rsid w:val="00F946A0"/>
    <w:rsid w:val="00F95D64"/>
    <w:rsid w:val="00F96F7B"/>
    <w:rsid w:val="00FA1B0D"/>
    <w:rsid w:val="00FA2C0D"/>
    <w:rsid w:val="00FA3BDE"/>
    <w:rsid w:val="00FA6668"/>
    <w:rsid w:val="00FA6BC0"/>
    <w:rsid w:val="00FB14F1"/>
    <w:rsid w:val="00FB1E88"/>
    <w:rsid w:val="00FB28C6"/>
    <w:rsid w:val="00FB426B"/>
    <w:rsid w:val="00FB7971"/>
    <w:rsid w:val="00FC0AEA"/>
    <w:rsid w:val="00FC1D91"/>
    <w:rsid w:val="00FC5E2D"/>
    <w:rsid w:val="00FD1476"/>
    <w:rsid w:val="00FE11D0"/>
    <w:rsid w:val="00FE2A94"/>
    <w:rsid w:val="00FF11CF"/>
    <w:rsid w:val="00FF1E09"/>
    <w:rsid w:val="00FF26D6"/>
    <w:rsid w:val="00FF3E11"/>
    <w:rsid w:val="00FF59E8"/>
    <w:rsid w:val="00FF6E7F"/>
    <w:rsid w:val="00FF77B7"/>
  </w:rsids>
  <m:mathPr>
    <m:mathFont m:val="Cambria Math"/>
    <m:brkBin m:val="before"/>
    <m:brkBinSub m:val="--"/>
    <m:smallFrac m:val="0"/>
    <m:dispDef/>
    <m:lMargin m:val="0"/>
    <m:rMargin m:val="0"/>
    <m:defJc m:val="centerGroup"/>
    <m:wrapIndent m:val="1440"/>
    <m:intLim m:val="subSup"/>
    <m:naryLim m:val="undOvr"/>
  </m:mathPr>
  <w:themeFontLang w:val="de-DE" w:eastAsia="zh-CN"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6B128EB-DA32-4DC9-A34E-0161F400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 w:val="20"/>
      <w:szCs w:val="24"/>
      <w:lang w:val="en-US" w:eastAsia="en-US"/>
    </w:rPr>
  </w:style>
  <w:style w:type="paragraph" w:styleId="Heading1">
    <w:name w:val="heading 1"/>
    <w:basedOn w:val="Normal"/>
    <w:link w:val="Heading1Char"/>
    <w:uiPriority w:val="99"/>
    <w:qFormat/>
    <w:rsid w:val="00EB41CA"/>
    <w:pPr>
      <w:outlineLvl w:val="0"/>
    </w:pPr>
    <w:rPr>
      <w:rFonts w:cs="Tahoma"/>
      <w:b/>
      <w:color w:val="FFFFFF"/>
      <w:sz w:val="24"/>
    </w:rPr>
  </w:style>
  <w:style w:type="paragraph" w:styleId="Heading2">
    <w:name w:val="heading 2"/>
    <w:basedOn w:val="Normal"/>
    <w:next w:val="Normal"/>
    <w:link w:val="Heading2Char"/>
    <w:uiPriority w:val="99"/>
    <w:qFormat/>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cs="Times New Roman"/>
      <w:b/>
      <w:color w:val="FFFFFF"/>
      <w:sz w:val="24"/>
      <w:lang w:eastAsia="en-US"/>
    </w:rPr>
  </w:style>
  <w:style w:type="character" w:customStyle="1" w:styleId="Heading2Char">
    <w:name w:val="Heading 2 Char"/>
    <w:basedOn w:val="DefaultParagraphFont"/>
    <w:link w:val="Heading2"/>
    <w:uiPriority w:val="99"/>
    <w:locked/>
    <w:rsid w:val="00EB41CA"/>
    <w:rPr>
      <w:rFonts w:ascii="Trebuchet MS" w:eastAsia="MS Mincho" w:hAnsi="Trebuchet MS" w:cs="Times New Roman"/>
      <w:b/>
      <w:color w:val="FFFFFF"/>
      <w:sz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cs="Times New Roman"/>
      <w:sz w:val="24"/>
      <w:lang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cs="Times New Roman"/>
      <w:sz w:val="24"/>
      <w:lang w:eastAsia="en-US"/>
    </w:rPr>
  </w:style>
  <w:style w:type="paragraph" w:styleId="BalloonText">
    <w:name w:val="Balloon Text"/>
    <w:basedOn w:val="Normal"/>
    <w:link w:val="BalloonTextChar"/>
    <w:uiPriority w:val="99"/>
    <w:rsid w:val="003E73B2"/>
    <w:rPr>
      <w:rFonts w:ascii="Tahoma" w:hAnsi="Tahoma" w:cs="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cs="Times New Roman"/>
      <w:sz w:val="16"/>
      <w:lang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cs="Times New Roman"/>
      <w:sz w:val="20"/>
      <w:lang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cs="Times New Roman"/>
      <w:b/>
      <w:sz w:val="20"/>
      <w:lang w:eastAsia="en-US"/>
    </w:rPr>
  </w:style>
  <w:style w:type="table" w:styleId="TableGrid">
    <w:name w:val="Table Grid"/>
    <w:basedOn w:val="TableNormal"/>
    <w:uiPriority w:val="99"/>
    <w:rsid w:val="00C2425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 w:val="20"/>
      <w:szCs w:val="24"/>
      <w:lang w:val="en-US" w:eastAsia="en-US"/>
    </w:rPr>
  </w:style>
  <w:style w:type="character" w:customStyle="1" w:styleId="LogoportMarkup">
    <w:name w:val="LogoportMarkup"/>
    <w:uiPriority w:val="99"/>
    <w:rsid w:val="003A55A6"/>
    <w:rPr>
      <w:rFonts w:ascii="Courier New" w:hAnsi="Courier New"/>
      <w:color w:val="FF0000"/>
      <w:sz w:val="28"/>
    </w:rPr>
  </w:style>
  <w:style w:type="character" w:customStyle="1" w:styleId="LogoportDoNotTranslate">
    <w:name w:val="LogoportDoNotTranslate"/>
    <w:uiPriority w:val="99"/>
    <w:rsid w:val="003A55A6"/>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022499">
      <w:marLeft w:val="0"/>
      <w:marRight w:val="0"/>
      <w:marTop w:val="0"/>
      <w:marBottom w:val="0"/>
      <w:divBdr>
        <w:top w:val="none" w:sz="0" w:space="0" w:color="auto"/>
        <w:left w:val="none" w:sz="0" w:space="0" w:color="auto"/>
        <w:bottom w:val="none" w:sz="0" w:space="0" w:color="auto"/>
        <w:right w:val="none" w:sz="0" w:space="0" w:color="auto"/>
      </w:divBdr>
    </w:div>
    <w:div w:id="687022500">
      <w:marLeft w:val="0"/>
      <w:marRight w:val="0"/>
      <w:marTop w:val="0"/>
      <w:marBottom w:val="0"/>
      <w:divBdr>
        <w:top w:val="none" w:sz="0" w:space="0" w:color="auto"/>
        <w:left w:val="none" w:sz="0" w:space="0" w:color="auto"/>
        <w:bottom w:val="none" w:sz="0" w:space="0" w:color="auto"/>
        <w:right w:val="none" w:sz="0" w:space="0" w:color="auto"/>
      </w:divBdr>
      <w:divsChild>
        <w:div w:id="687022523">
          <w:marLeft w:val="0"/>
          <w:marRight w:val="0"/>
          <w:marTop w:val="0"/>
          <w:marBottom w:val="0"/>
          <w:divBdr>
            <w:top w:val="none" w:sz="0" w:space="0" w:color="auto"/>
            <w:left w:val="none" w:sz="0" w:space="0" w:color="auto"/>
            <w:bottom w:val="none" w:sz="0" w:space="0" w:color="auto"/>
            <w:right w:val="none" w:sz="0" w:space="0" w:color="auto"/>
          </w:divBdr>
        </w:div>
      </w:divsChild>
    </w:div>
    <w:div w:id="687022501">
      <w:marLeft w:val="0"/>
      <w:marRight w:val="0"/>
      <w:marTop w:val="0"/>
      <w:marBottom w:val="0"/>
      <w:divBdr>
        <w:top w:val="none" w:sz="0" w:space="0" w:color="auto"/>
        <w:left w:val="none" w:sz="0" w:space="0" w:color="auto"/>
        <w:bottom w:val="none" w:sz="0" w:space="0" w:color="auto"/>
        <w:right w:val="none" w:sz="0" w:space="0" w:color="auto"/>
      </w:divBdr>
    </w:div>
    <w:div w:id="687022502">
      <w:marLeft w:val="0"/>
      <w:marRight w:val="0"/>
      <w:marTop w:val="0"/>
      <w:marBottom w:val="0"/>
      <w:divBdr>
        <w:top w:val="none" w:sz="0" w:space="0" w:color="auto"/>
        <w:left w:val="none" w:sz="0" w:space="0" w:color="auto"/>
        <w:bottom w:val="none" w:sz="0" w:space="0" w:color="auto"/>
        <w:right w:val="none" w:sz="0" w:space="0" w:color="auto"/>
      </w:divBdr>
    </w:div>
    <w:div w:id="687022503">
      <w:marLeft w:val="0"/>
      <w:marRight w:val="0"/>
      <w:marTop w:val="0"/>
      <w:marBottom w:val="0"/>
      <w:divBdr>
        <w:top w:val="none" w:sz="0" w:space="0" w:color="auto"/>
        <w:left w:val="none" w:sz="0" w:space="0" w:color="auto"/>
        <w:bottom w:val="none" w:sz="0" w:space="0" w:color="auto"/>
        <w:right w:val="none" w:sz="0" w:space="0" w:color="auto"/>
      </w:divBdr>
    </w:div>
    <w:div w:id="687022504">
      <w:marLeft w:val="0"/>
      <w:marRight w:val="0"/>
      <w:marTop w:val="0"/>
      <w:marBottom w:val="0"/>
      <w:divBdr>
        <w:top w:val="none" w:sz="0" w:space="0" w:color="auto"/>
        <w:left w:val="none" w:sz="0" w:space="0" w:color="auto"/>
        <w:bottom w:val="none" w:sz="0" w:space="0" w:color="auto"/>
        <w:right w:val="none" w:sz="0" w:space="0" w:color="auto"/>
      </w:divBdr>
      <w:divsChild>
        <w:div w:id="687022514">
          <w:marLeft w:val="0"/>
          <w:marRight w:val="0"/>
          <w:marTop w:val="0"/>
          <w:marBottom w:val="0"/>
          <w:divBdr>
            <w:top w:val="none" w:sz="0" w:space="0" w:color="auto"/>
            <w:left w:val="none" w:sz="0" w:space="0" w:color="auto"/>
            <w:bottom w:val="none" w:sz="0" w:space="0" w:color="auto"/>
            <w:right w:val="none" w:sz="0" w:space="0" w:color="auto"/>
          </w:divBdr>
        </w:div>
      </w:divsChild>
    </w:div>
    <w:div w:id="687022505">
      <w:marLeft w:val="0"/>
      <w:marRight w:val="0"/>
      <w:marTop w:val="0"/>
      <w:marBottom w:val="0"/>
      <w:divBdr>
        <w:top w:val="none" w:sz="0" w:space="0" w:color="auto"/>
        <w:left w:val="none" w:sz="0" w:space="0" w:color="auto"/>
        <w:bottom w:val="none" w:sz="0" w:space="0" w:color="auto"/>
        <w:right w:val="none" w:sz="0" w:space="0" w:color="auto"/>
      </w:divBdr>
    </w:div>
    <w:div w:id="687022506">
      <w:marLeft w:val="0"/>
      <w:marRight w:val="0"/>
      <w:marTop w:val="0"/>
      <w:marBottom w:val="0"/>
      <w:divBdr>
        <w:top w:val="none" w:sz="0" w:space="0" w:color="auto"/>
        <w:left w:val="none" w:sz="0" w:space="0" w:color="auto"/>
        <w:bottom w:val="none" w:sz="0" w:space="0" w:color="auto"/>
        <w:right w:val="none" w:sz="0" w:space="0" w:color="auto"/>
      </w:divBdr>
    </w:div>
    <w:div w:id="687022507">
      <w:marLeft w:val="0"/>
      <w:marRight w:val="0"/>
      <w:marTop w:val="0"/>
      <w:marBottom w:val="0"/>
      <w:divBdr>
        <w:top w:val="none" w:sz="0" w:space="0" w:color="auto"/>
        <w:left w:val="none" w:sz="0" w:space="0" w:color="auto"/>
        <w:bottom w:val="none" w:sz="0" w:space="0" w:color="auto"/>
        <w:right w:val="none" w:sz="0" w:space="0" w:color="auto"/>
      </w:divBdr>
    </w:div>
    <w:div w:id="687022508">
      <w:marLeft w:val="0"/>
      <w:marRight w:val="0"/>
      <w:marTop w:val="0"/>
      <w:marBottom w:val="0"/>
      <w:divBdr>
        <w:top w:val="none" w:sz="0" w:space="0" w:color="auto"/>
        <w:left w:val="none" w:sz="0" w:space="0" w:color="auto"/>
        <w:bottom w:val="none" w:sz="0" w:space="0" w:color="auto"/>
        <w:right w:val="none" w:sz="0" w:space="0" w:color="auto"/>
      </w:divBdr>
    </w:div>
    <w:div w:id="687022509">
      <w:marLeft w:val="0"/>
      <w:marRight w:val="0"/>
      <w:marTop w:val="0"/>
      <w:marBottom w:val="0"/>
      <w:divBdr>
        <w:top w:val="none" w:sz="0" w:space="0" w:color="auto"/>
        <w:left w:val="none" w:sz="0" w:space="0" w:color="auto"/>
        <w:bottom w:val="none" w:sz="0" w:space="0" w:color="auto"/>
        <w:right w:val="none" w:sz="0" w:space="0" w:color="auto"/>
      </w:divBdr>
    </w:div>
    <w:div w:id="687022510">
      <w:marLeft w:val="0"/>
      <w:marRight w:val="0"/>
      <w:marTop w:val="0"/>
      <w:marBottom w:val="0"/>
      <w:divBdr>
        <w:top w:val="none" w:sz="0" w:space="0" w:color="auto"/>
        <w:left w:val="none" w:sz="0" w:space="0" w:color="auto"/>
        <w:bottom w:val="none" w:sz="0" w:space="0" w:color="auto"/>
        <w:right w:val="none" w:sz="0" w:space="0" w:color="auto"/>
      </w:divBdr>
    </w:div>
    <w:div w:id="687022511">
      <w:marLeft w:val="0"/>
      <w:marRight w:val="0"/>
      <w:marTop w:val="0"/>
      <w:marBottom w:val="0"/>
      <w:divBdr>
        <w:top w:val="none" w:sz="0" w:space="0" w:color="auto"/>
        <w:left w:val="none" w:sz="0" w:space="0" w:color="auto"/>
        <w:bottom w:val="none" w:sz="0" w:space="0" w:color="auto"/>
        <w:right w:val="none" w:sz="0" w:space="0" w:color="auto"/>
      </w:divBdr>
    </w:div>
    <w:div w:id="687022512">
      <w:marLeft w:val="0"/>
      <w:marRight w:val="0"/>
      <w:marTop w:val="0"/>
      <w:marBottom w:val="0"/>
      <w:divBdr>
        <w:top w:val="none" w:sz="0" w:space="0" w:color="auto"/>
        <w:left w:val="none" w:sz="0" w:space="0" w:color="auto"/>
        <w:bottom w:val="none" w:sz="0" w:space="0" w:color="auto"/>
        <w:right w:val="none" w:sz="0" w:space="0" w:color="auto"/>
      </w:divBdr>
      <w:divsChild>
        <w:div w:id="687022517">
          <w:marLeft w:val="0"/>
          <w:marRight w:val="0"/>
          <w:marTop w:val="0"/>
          <w:marBottom w:val="0"/>
          <w:divBdr>
            <w:top w:val="none" w:sz="0" w:space="0" w:color="auto"/>
            <w:left w:val="none" w:sz="0" w:space="0" w:color="auto"/>
            <w:bottom w:val="none" w:sz="0" w:space="0" w:color="auto"/>
            <w:right w:val="none" w:sz="0" w:space="0" w:color="auto"/>
          </w:divBdr>
        </w:div>
      </w:divsChild>
    </w:div>
    <w:div w:id="687022513">
      <w:marLeft w:val="0"/>
      <w:marRight w:val="0"/>
      <w:marTop w:val="0"/>
      <w:marBottom w:val="0"/>
      <w:divBdr>
        <w:top w:val="none" w:sz="0" w:space="0" w:color="auto"/>
        <w:left w:val="none" w:sz="0" w:space="0" w:color="auto"/>
        <w:bottom w:val="none" w:sz="0" w:space="0" w:color="auto"/>
        <w:right w:val="none" w:sz="0" w:space="0" w:color="auto"/>
      </w:divBdr>
    </w:div>
    <w:div w:id="687022515">
      <w:marLeft w:val="0"/>
      <w:marRight w:val="0"/>
      <w:marTop w:val="0"/>
      <w:marBottom w:val="0"/>
      <w:divBdr>
        <w:top w:val="none" w:sz="0" w:space="0" w:color="auto"/>
        <w:left w:val="none" w:sz="0" w:space="0" w:color="auto"/>
        <w:bottom w:val="none" w:sz="0" w:space="0" w:color="auto"/>
        <w:right w:val="none" w:sz="0" w:space="0" w:color="auto"/>
      </w:divBdr>
    </w:div>
    <w:div w:id="687022516">
      <w:marLeft w:val="0"/>
      <w:marRight w:val="0"/>
      <w:marTop w:val="0"/>
      <w:marBottom w:val="0"/>
      <w:divBdr>
        <w:top w:val="none" w:sz="0" w:space="0" w:color="auto"/>
        <w:left w:val="none" w:sz="0" w:space="0" w:color="auto"/>
        <w:bottom w:val="none" w:sz="0" w:space="0" w:color="auto"/>
        <w:right w:val="none" w:sz="0" w:space="0" w:color="auto"/>
      </w:divBdr>
    </w:div>
    <w:div w:id="687022518">
      <w:marLeft w:val="0"/>
      <w:marRight w:val="0"/>
      <w:marTop w:val="0"/>
      <w:marBottom w:val="0"/>
      <w:divBdr>
        <w:top w:val="none" w:sz="0" w:space="0" w:color="auto"/>
        <w:left w:val="none" w:sz="0" w:space="0" w:color="auto"/>
        <w:bottom w:val="none" w:sz="0" w:space="0" w:color="auto"/>
        <w:right w:val="none" w:sz="0" w:space="0" w:color="auto"/>
      </w:divBdr>
    </w:div>
    <w:div w:id="687022519">
      <w:marLeft w:val="0"/>
      <w:marRight w:val="0"/>
      <w:marTop w:val="0"/>
      <w:marBottom w:val="0"/>
      <w:divBdr>
        <w:top w:val="none" w:sz="0" w:space="0" w:color="auto"/>
        <w:left w:val="none" w:sz="0" w:space="0" w:color="auto"/>
        <w:bottom w:val="none" w:sz="0" w:space="0" w:color="auto"/>
        <w:right w:val="none" w:sz="0" w:space="0" w:color="auto"/>
      </w:divBdr>
    </w:div>
    <w:div w:id="687022520">
      <w:marLeft w:val="0"/>
      <w:marRight w:val="0"/>
      <w:marTop w:val="0"/>
      <w:marBottom w:val="0"/>
      <w:divBdr>
        <w:top w:val="none" w:sz="0" w:space="0" w:color="auto"/>
        <w:left w:val="none" w:sz="0" w:space="0" w:color="auto"/>
        <w:bottom w:val="none" w:sz="0" w:space="0" w:color="auto"/>
        <w:right w:val="none" w:sz="0" w:space="0" w:color="auto"/>
      </w:divBdr>
    </w:div>
    <w:div w:id="687022521">
      <w:marLeft w:val="0"/>
      <w:marRight w:val="0"/>
      <w:marTop w:val="0"/>
      <w:marBottom w:val="0"/>
      <w:divBdr>
        <w:top w:val="none" w:sz="0" w:space="0" w:color="auto"/>
        <w:left w:val="none" w:sz="0" w:space="0" w:color="auto"/>
        <w:bottom w:val="none" w:sz="0" w:space="0" w:color="auto"/>
        <w:right w:val="none" w:sz="0" w:space="0" w:color="auto"/>
      </w:divBdr>
    </w:div>
    <w:div w:id="687022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3248</Words>
  <Characters>18516</Characters>
  <Application>Microsoft Office Word</Application>
  <DocSecurity>8</DocSecurity>
  <Lines>154</Lines>
  <Paragraphs>43</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Sara Abbess (Simple Concepts)</cp:lastModifiedBy>
  <cp:revision>3</cp:revision>
  <cp:lastPrinted>2013-11-14T13:49:00Z</cp:lastPrinted>
  <dcterms:created xsi:type="dcterms:W3CDTF">2013-11-25T19:16:00Z</dcterms:created>
  <dcterms:modified xsi:type="dcterms:W3CDTF">2013-11-25T19:18:00Z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0x010100C99CE1069FA99D429D33777DB55B3045</vt:lpwstr>
  </property>
</Properties>
</file>