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5DDC02F2"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671BA">
        <w:rPr>
          <w:rFonts w:asciiTheme="majorHAnsi" w:hAnsiTheme="majorHAnsi"/>
          <w:color w:val="FFFFFF" w:themeColor="background1"/>
          <w:sz w:val="72"/>
          <w:szCs w:val="72"/>
        </w:rPr>
        <w:t>lipca</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202</w:t>
      </w:r>
      <w:r w:rsidR="000F04B0">
        <w:rPr>
          <w:rFonts w:asciiTheme="majorHAnsi" w:hAnsiTheme="majorHAnsi"/>
          <w:color w:val="FFFFFF" w:themeColor="background1"/>
          <w:sz w:val="72"/>
          <w:szCs w:val="72"/>
        </w:rPr>
        <w:t>1</w:t>
      </w:r>
      <w:r w:rsidR="00E7208F">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53066"/>
      <w:r>
        <w:lastRenderedPageBreak/>
        <w:t>Spis treści</w:t>
      </w:r>
      <w:bookmarkEnd w:id="2"/>
      <w:bookmarkEnd w:id="3"/>
    </w:p>
    <w:p w14:paraId="2BF0B00F" w14:textId="122FF3A1" w:rsidR="00360BF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5753066" w:history="1">
        <w:r w:rsidR="00360BF6" w:rsidRPr="0050019E">
          <w:rPr>
            <w:rStyle w:val="Hyperlink"/>
            <w:noProof/>
          </w:rPr>
          <w:t>Spis treści</w:t>
        </w:r>
        <w:r w:rsidR="00360BF6">
          <w:rPr>
            <w:noProof/>
            <w:webHidden/>
          </w:rPr>
          <w:tab/>
        </w:r>
        <w:r w:rsidR="00360BF6">
          <w:rPr>
            <w:noProof/>
            <w:webHidden/>
          </w:rPr>
          <w:fldChar w:fldCharType="begin"/>
        </w:r>
        <w:r w:rsidR="00360BF6">
          <w:rPr>
            <w:noProof/>
            <w:webHidden/>
          </w:rPr>
          <w:instrText xml:space="preserve"> PAGEREF _Toc65753066 \h </w:instrText>
        </w:r>
        <w:r w:rsidR="00360BF6">
          <w:rPr>
            <w:noProof/>
            <w:webHidden/>
          </w:rPr>
        </w:r>
        <w:r w:rsidR="00360BF6">
          <w:rPr>
            <w:noProof/>
            <w:webHidden/>
          </w:rPr>
          <w:fldChar w:fldCharType="separate"/>
        </w:r>
        <w:r w:rsidR="00846017">
          <w:rPr>
            <w:noProof/>
            <w:webHidden/>
          </w:rPr>
          <w:t>2</w:t>
        </w:r>
        <w:r w:rsidR="00360BF6">
          <w:rPr>
            <w:noProof/>
            <w:webHidden/>
          </w:rPr>
          <w:fldChar w:fldCharType="end"/>
        </w:r>
      </w:hyperlink>
    </w:p>
    <w:p w14:paraId="4B9F05EB" w14:textId="137AED64" w:rsidR="00360BF6" w:rsidRDefault="002259E6">
      <w:pPr>
        <w:pStyle w:val="TOC1"/>
        <w:tabs>
          <w:tab w:val="right" w:leader="dot" w:pos="5030"/>
        </w:tabs>
        <w:rPr>
          <w:rFonts w:eastAsiaTheme="minorEastAsia"/>
          <w:b w:val="0"/>
          <w:caps w:val="0"/>
          <w:noProof/>
          <w:sz w:val="22"/>
          <w:lang w:val="en-US" w:eastAsia="en-US" w:bidi="ar-SA"/>
        </w:rPr>
      </w:pPr>
      <w:hyperlink w:anchor="_Toc65753067" w:history="1">
        <w:r w:rsidR="00360BF6" w:rsidRPr="0050019E">
          <w:rPr>
            <w:rStyle w:val="Hyperlink"/>
            <w:noProof/>
          </w:rPr>
          <w:t>Wprowadzenie</w:t>
        </w:r>
        <w:r w:rsidR="00360BF6">
          <w:rPr>
            <w:noProof/>
            <w:webHidden/>
          </w:rPr>
          <w:tab/>
        </w:r>
        <w:r w:rsidR="00360BF6">
          <w:rPr>
            <w:noProof/>
            <w:webHidden/>
          </w:rPr>
          <w:fldChar w:fldCharType="begin"/>
        </w:r>
        <w:r w:rsidR="00360BF6">
          <w:rPr>
            <w:noProof/>
            <w:webHidden/>
          </w:rPr>
          <w:instrText xml:space="preserve"> PAGEREF _Toc65753067 \h </w:instrText>
        </w:r>
        <w:r w:rsidR="00360BF6">
          <w:rPr>
            <w:noProof/>
            <w:webHidden/>
          </w:rPr>
        </w:r>
        <w:r w:rsidR="00360BF6">
          <w:rPr>
            <w:noProof/>
            <w:webHidden/>
          </w:rPr>
          <w:fldChar w:fldCharType="separate"/>
        </w:r>
        <w:r w:rsidR="00846017">
          <w:rPr>
            <w:noProof/>
            <w:webHidden/>
          </w:rPr>
          <w:t>3</w:t>
        </w:r>
        <w:r w:rsidR="00360BF6">
          <w:rPr>
            <w:noProof/>
            <w:webHidden/>
          </w:rPr>
          <w:fldChar w:fldCharType="end"/>
        </w:r>
      </w:hyperlink>
    </w:p>
    <w:p w14:paraId="2EB2D360" w14:textId="716D4366" w:rsidR="00360BF6" w:rsidRDefault="002259E6">
      <w:pPr>
        <w:pStyle w:val="TOC1"/>
        <w:tabs>
          <w:tab w:val="right" w:leader="dot" w:pos="5030"/>
        </w:tabs>
        <w:rPr>
          <w:rFonts w:eastAsiaTheme="minorEastAsia"/>
          <w:b w:val="0"/>
          <w:caps w:val="0"/>
          <w:noProof/>
          <w:sz w:val="22"/>
          <w:lang w:val="en-US" w:eastAsia="en-US" w:bidi="ar-SA"/>
        </w:rPr>
      </w:pPr>
      <w:hyperlink w:anchor="_Toc65753068" w:history="1">
        <w:r w:rsidR="00360BF6" w:rsidRPr="0050019E">
          <w:rPr>
            <w:rStyle w:val="Hyperlink"/>
            <w:noProof/>
          </w:rPr>
          <w:t>Ogólne Postanowienia</w:t>
        </w:r>
        <w:r w:rsidR="00360BF6">
          <w:rPr>
            <w:noProof/>
            <w:webHidden/>
          </w:rPr>
          <w:tab/>
        </w:r>
        <w:r w:rsidR="00360BF6">
          <w:rPr>
            <w:noProof/>
            <w:webHidden/>
          </w:rPr>
          <w:fldChar w:fldCharType="begin"/>
        </w:r>
        <w:r w:rsidR="00360BF6">
          <w:rPr>
            <w:noProof/>
            <w:webHidden/>
          </w:rPr>
          <w:instrText xml:space="preserve"> PAGEREF _Toc65753068 \h </w:instrText>
        </w:r>
        <w:r w:rsidR="00360BF6">
          <w:rPr>
            <w:noProof/>
            <w:webHidden/>
          </w:rPr>
        </w:r>
        <w:r w:rsidR="00360BF6">
          <w:rPr>
            <w:noProof/>
            <w:webHidden/>
          </w:rPr>
          <w:fldChar w:fldCharType="separate"/>
        </w:r>
        <w:r w:rsidR="00846017">
          <w:rPr>
            <w:noProof/>
            <w:webHidden/>
          </w:rPr>
          <w:t>4</w:t>
        </w:r>
        <w:r w:rsidR="00360BF6">
          <w:rPr>
            <w:noProof/>
            <w:webHidden/>
          </w:rPr>
          <w:fldChar w:fldCharType="end"/>
        </w:r>
      </w:hyperlink>
    </w:p>
    <w:p w14:paraId="1D63DCE6" w14:textId="113CB02E" w:rsidR="00360BF6" w:rsidRDefault="002259E6">
      <w:pPr>
        <w:pStyle w:val="TOC1"/>
        <w:tabs>
          <w:tab w:val="right" w:leader="dot" w:pos="5030"/>
        </w:tabs>
        <w:rPr>
          <w:rFonts w:eastAsiaTheme="minorEastAsia"/>
          <w:b w:val="0"/>
          <w:caps w:val="0"/>
          <w:noProof/>
          <w:sz w:val="22"/>
          <w:lang w:val="en-US" w:eastAsia="en-US" w:bidi="ar-SA"/>
        </w:rPr>
      </w:pPr>
      <w:hyperlink w:anchor="_Toc65753069" w:history="1">
        <w:r w:rsidR="00360BF6" w:rsidRPr="0050019E">
          <w:rPr>
            <w:rStyle w:val="Hyperlink"/>
            <w:noProof/>
          </w:rPr>
          <w:t>Postanowienia Dotyczące Danej Usługi</w:t>
        </w:r>
        <w:r w:rsidR="00360BF6">
          <w:rPr>
            <w:noProof/>
            <w:webHidden/>
          </w:rPr>
          <w:tab/>
        </w:r>
        <w:r w:rsidR="00360BF6">
          <w:rPr>
            <w:noProof/>
            <w:webHidden/>
          </w:rPr>
          <w:fldChar w:fldCharType="begin"/>
        </w:r>
        <w:r w:rsidR="00360BF6">
          <w:rPr>
            <w:noProof/>
            <w:webHidden/>
          </w:rPr>
          <w:instrText xml:space="preserve"> PAGEREF _Toc65753069 \h </w:instrText>
        </w:r>
        <w:r w:rsidR="00360BF6">
          <w:rPr>
            <w:noProof/>
            <w:webHidden/>
          </w:rPr>
        </w:r>
        <w:r w:rsidR="00360BF6">
          <w:rPr>
            <w:noProof/>
            <w:webHidden/>
          </w:rPr>
          <w:fldChar w:fldCharType="separate"/>
        </w:r>
        <w:r w:rsidR="00846017">
          <w:rPr>
            <w:noProof/>
            <w:webHidden/>
          </w:rPr>
          <w:t>6</w:t>
        </w:r>
        <w:r w:rsidR="00360BF6">
          <w:rPr>
            <w:noProof/>
            <w:webHidden/>
          </w:rPr>
          <w:fldChar w:fldCharType="end"/>
        </w:r>
      </w:hyperlink>
    </w:p>
    <w:p w14:paraId="1B1E20EC" w14:textId="2F86B9A9" w:rsidR="00360BF6" w:rsidRDefault="002259E6">
      <w:pPr>
        <w:pStyle w:val="TOC2"/>
        <w:tabs>
          <w:tab w:val="right" w:leader="dot" w:pos="5030"/>
        </w:tabs>
        <w:rPr>
          <w:rFonts w:eastAsiaTheme="minorEastAsia"/>
          <w:b w:val="0"/>
          <w:smallCaps w:val="0"/>
          <w:noProof/>
          <w:sz w:val="22"/>
          <w:lang w:val="en-US" w:eastAsia="en-US" w:bidi="ar-SA"/>
        </w:rPr>
      </w:pPr>
      <w:hyperlink w:anchor="_Toc65753070" w:history="1">
        <w:r w:rsidR="00360BF6" w:rsidRPr="0050019E">
          <w:rPr>
            <w:rStyle w:val="Hyperlink"/>
            <w:noProof/>
            <w:lang w:val="en-US"/>
          </w:rPr>
          <w:t>Microsoft Dynamics 365</w:t>
        </w:r>
        <w:r w:rsidR="00360BF6">
          <w:rPr>
            <w:noProof/>
            <w:webHidden/>
          </w:rPr>
          <w:tab/>
        </w:r>
        <w:r w:rsidR="00360BF6">
          <w:rPr>
            <w:noProof/>
            <w:webHidden/>
          </w:rPr>
          <w:fldChar w:fldCharType="begin"/>
        </w:r>
        <w:r w:rsidR="00360BF6">
          <w:rPr>
            <w:noProof/>
            <w:webHidden/>
          </w:rPr>
          <w:instrText xml:space="preserve"> PAGEREF _Toc65753070 \h </w:instrText>
        </w:r>
        <w:r w:rsidR="00360BF6">
          <w:rPr>
            <w:noProof/>
            <w:webHidden/>
          </w:rPr>
        </w:r>
        <w:r w:rsidR="00360BF6">
          <w:rPr>
            <w:noProof/>
            <w:webHidden/>
          </w:rPr>
          <w:fldChar w:fldCharType="separate"/>
        </w:r>
        <w:r w:rsidR="00846017">
          <w:rPr>
            <w:noProof/>
            <w:webHidden/>
          </w:rPr>
          <w:t>6</w:t>
        </w:r>
        <w:r w:rsidR="00360BF6">
          <w:rPr>
            <w:noProof/>
            <w:webHidden/>
          </w:rPr>
          <w:fldChar w:fldCharType="end"/>
        </w:r>
      </w:hyperlink>
    </w:p>
    <w:p w14:paraId="6DE1CE81" w14:textId="436598B3" w:rsidR="00360BF6" w:rsidRDefault="002259E6">
      <w:pPr>
        <w:pStyle w:val="TOC4"/>
        <w:tabs>
          <w:tab w:val="right" w:leader="dot" w:pos="5030"/>
        </w:tabs>
        <w:rPr>
          <w:rFonts w:eastAsiaTheme="minorEastAsia"/>
          <w:smallCaps w:val="0"/>
          <w:noProof/>
          <w:sz w:val="22"/>
          <w:lang w:val="en-US" w:eastAsia="en-US" w:bidi="ar-SA"/>
        </w:rPr>
      </w:pPr>
      <w:hyperlink w:anchor="_Toc65753071" w:history="1">
        <w:r w:rsidR="00360BF6" w:rsidRPr="0050019E">
          <w:rPr>
            <w:rStyle w:val="Hyperlink"/>
            <w:noProof/>
          </w:rPr>
          <w:t>Dynamics 365 Business Central</w:t>
        </w:r>
        <w:r w:rsidR="00360BF6">
          <w:rPr>
            <w:noProof/>
            <w:webHidden/>
          </w:rPr>
          <w:tab/>
        </w:r>
        <w:r w:rsidR="00360BF6">
          <w:rPr>
            <w:noProof/>
            <w:webHidden/>
          </w:rPr>
          <w:fldChar w:fldCharType="begin"/>
        </w:r>
        <w:r w:rsidR="00360BF6">
          <w:rPr>
            <w:noProof/>
            <w:webHidden/>
          </w:rPr>
          <w:instrText xml:space="preserve"> PAGEREF _Toc65753071 \h </w:instrText>
        </w:r>
        <w:r w:rsidR="00360BF6">
          <w:rPr>
            <w:noProof/>
            <w:webHidden/>
          </w:rPr>
        </w:r>
        <w:r w:rsidR="00360BF6">
          <w:rPr>
            <w:noProof/>
            <w:webHidden/>
          </w:rPr>
          <w:fldChar w:fldCharType="separate"/>
        </w:r>
        <w:r w:rsidR="00846017">
          <w:rPr>
            <w:noProof/>
            <w:webHidden/>
          </w:rPr>
          <w:t>6</w:t>
        </w:r>
        <w:r w:rsidR="00360BF6">
          <w:rPr>
            <w:noProof/>
            <w:webHidden/>
          </w:rPr>
          <w:fldChar w:fldCharType="end"/>
        </w:r>
      </w:hyperlink>
    </w:p>
    <w:p w14:paraId="0ABC23BA" w14:textId="559286ED" w:rsidR="00360BF6" w:rsidRDefault="002259E6">
      <w:pPr>
        <w:pStyle w:val="TOC4"/>
        <w:tabs>
          <w:tab w:val="right" w:leader="dot" w:pos="5030"/>
        </w:tabs>
        <w:rPr>
          <w:rFonts w:eastAsiaTheme="minorEastAsia"/>
          <w:smallCaps w:val="0"/>
          <w:noProof/>
          <w:sz w:val="22"/>
          <w:lang w:val="en-US" w:eastAsia="en-US" w:bidi="ar-SA"/>
        </w:rPr>
      </w:pPr>
      <w:hyperlink w:anchor="_Toc65753072" w:history="1">
        <w:r w:rsidR="00360BF6" w:rsidRPr="0050019E">
          <w:rPr>
            <w:rStyle w:val="Hyperlink"/>
            <w:noProof/>
          </w:rPr>
          <w:t>Dynamics 365 Commerce</w:t>
        </w:r>
        <w:r w:rsidR="00360BF6">
          <w:rPr>
            <w:noProof/>
            <w:webHidden/>
          </w:rPr>
          <w:tab/>
        </w:r>
        <w:r w:rsidR="00360BF6">
          <w:rPr>
            <w:noProof/>
            <w:webHidden/>
          </w:rPr>
          <w:fldChar w:fldCharType="begin"/>
        </w:r>
        <w:r w:rsidR="00360BF6">
          <w:rPr>
            <w:noProof/>
            <w:webHidden/>
          </w:rPr>
          <w:instrText xml:space="preserve"> PAGEREF _Toc65753072 \h </w:instrText>
        </w:r>
        <w:r w:rsidR="00360BF6">
          <w:rPr>
            <w:noProof/>
            <w:webHidden/>
          </w:rPr>
        </w:r>
        <w:r w:rsidR="00360BF6">
          <w:rPr>
            <w:noProof/>
            <w:webHidden/>
          </w:rPr>
          <w:fldChar w:fldCharType="separate"/>
        </w:r>
        <w:r w:rsidR="00846017">
          <w:rPr>
            <w:noProof/>
            <w:webHidden/>
          </w:rPr>
          <w:t>6</w:t>
        </w:r>
        <w:r w:rsidR="00360BF6">
          <w:rPr>
            <w:noProof/>
            <w:webHidden/>
          </w:rPr>
          <w:fldChar w:fldCharType="end"/>
        </w:r>
      </w:hyperlink>
    </w:p>
    <w:p w14:paraId="6EB34998" w14:textId="12F5B01A" w:rsidR="00360BF6" w:rsidRDefault="002259E6">
      <w:pPr>
        <w:pStyle w:val="TOC4"/>
        <w:tabs>
          <w:tab w:val="right" w:leader="dot" w:pos="5030"/>
        </w:tabs>
        <w:rPr>
          <w:rFonts w:eastAsiaTheme="minorEastAsia"/>
          <w:smallCaps w:val="0"/>
          <w:noProof/>
          <w:sz w:val="22"/>
          <w:lang w:val="en-US" w:eastAsia="en-US" w:bidi="ar-SA"/>
        </w:rPr>
      </w:pPr>
      <w:hyperlink w:anchor="_Toc65753073" w:history="1">
        <w:r w:rsidR="00360BF6" w:rsidRPr="0050019E">
          <w:rPr>
            <w:rStyle w:val="Hyperlink"/>
            <w:noProof/>
          </w:rPr>
          <w:t>Usługa Dynamics 365 Customer Insights</w:t>
        </w:r>
        <w:r w:rsidR="00360BF6">
          <w:rPr>
            <w:noProof/>
            <w:webHidden/>
          </w:rPr>
          <w:tab/>
        </w:r>
        <w:r w:rsidR="00360BF6">
          <w:rPr>
            <w:noProof/>
            <w:webHidden/>
          </w:rPr>
          <w:fldChar w:fldCharType="begin"/>
        </w:r>
        <w:r w:rsidR="00360BF6">
          <w:rPr>
            <w:noProof/>
            <w:webHidden/>
          </w:rPr>
          <w:instrText xml:space="preserve"> PAGEREF _Toc65753073 \h </w:instrText>
        </w:r>
        <w:r w:rsidR="00360BF6">
          <w:rPr>
            <w:noProof/>
            <w:webHidden/>
          </w:rPr>
        </w:r>
        <w:r w:rsidR="00360BF6">
          <w:rPr>
            <w:noProof/>
            <w:webHidden/>
          </w:rPr>
          <w:fldChar w:fldCharType="separate"/>
        </w:r>
        <w:r w:rsidR="00846017">
          <w:rPr>
            <w:noProof/>
            <w:webHidden/>
          </w:rPr>
          <w:t>7</w:t>
        </w:r>
        <w:r w:rsidR="00360BF6">
          <w:rPr>
            <w:noProof/>
            <w:webHidden/>
          </w:rPr>
          <w:fldChar w:fldCharType="end"/>
        </w:r>
      </w:hyperlink>
    </w:p>
    <w:p w14:paraId="6F1B40CE" w14:textId="3760F78E" w:rsidR="00360BF6" w:rsidRDefault="002259E6">
      <w:pPr>
        <w:pStyle w:val="TOC4"/>
        <w:tabs>
          <w:tab w:val="right" w:leader="dot" w:pos="5030"/>
        </w:tabs>
        <w:rPr>
          <w:rFonts w:eastAsiaTheme="minorEastAsia"/>
          <w:smallCaps w:val="0"/>
          <w:noProof/>
          <w:sz w:val="22"/>
          <w:lang w:val="en-US" w:eastAsia="en-US" w:bidi="ar-SA"/>
        </w:rPr>
      </w:pPr>
      <w:hyperlink w:anchor="_Toc65753074" w:history="1">
        <w:r w:rsidR="00360BF6" w:rsidRPr="0050019E">
          <w:rPr>
            <w:rStyle w:val="Hyperlink"/>
            <w:noProof/>
            <w:lang w:val="en-US"/>
          </w:rPr>
          <w:t>Dynamics 365 Customer Service Enterprise; Dynamics 365 Customer Service Professional; Dynamics 365 Customer Service Insights; Dynamics 365 Field Service; Dynamics 365 Marketing</w:t>
        </w:r>
        <w:r w:rsidR="00360BF6">
          <w:rPr>
            <w:noProof/>
            <w:webHidden/>
          </w:rPr>
          <w:tab/>
        </w:r>
        <w:r w:rsidR="00360BF6">
          <w:rPr>
            <w:noProof/>
            <w:webHidden/>
          </w:rPr>
          <w:fldChar w:fldCharType="begin"/>
        </w:r>
        <w:r w:rsidR="00360BF6">
          <w:rPr>
            <w:noProof/>
            <w:webHidden/>
          </w:rPr>
          <w:instrText xml:space="preserve"> PAGEREF _Toc65753074 \h </w:instrText>
        </w:r>
        <w:r w:rsidR="00360BF6">
          <w:rPr>
            <w:noProof/>
            <w:webHidden/>
          </w:rPr>
        </w:r>
        <w:r w:rsidR="00360BF6">
          <w:rPr>
            <w:noProof/>
            <w:webHidden/>
          </w:rPr>
          <w:fldChar w:fldCharType="separate"/>
        </w:r>
        <w:r w:rsidR="00846017">
          <w:rPr>
            <w:noProof/>
            <w:webHidden/>
          </w:rPr>
          <w:t>7</w:t>
        </w:r>
        <w:r w:rsidR="00360BF6">
          <w:rPr>
            <w:noProof/>
            <w:webHidden/>
          </w:rPr>
          <w:fldChar w:fldCharType="end"/>
        </w:r>
      </w:hyperlink>
    </w:p>
    <w:p w14:paraId="039210F5" w14:textId="626FE69B" w:rsidR="00360BF6" w:rsidRDefault="002259E6">
      <w:pPr>
        <w:pStyle w:val="TOC4"/>
        <w:tabs>
          <w:tab w:val="right" w:leader="dot" w:pos="5030"/>
        </w:tabs>
        <w:rPr>
          <w:rFonts w:eastAsiaTheme="minorEastAsia"/>
          <w:smallCaps w:val="0"/>
          <w:noProof/>
          <w:sz w:val="22"/>
          <w:lang w:val="en-US" w:eastAsia="en-US" w:bidi="ar-SA"/>
        </w:rPr>
      </w:pPr>
      <w:hyperlink w:anchor="_Toc65753075" w:history="1">
        <w:r w:rsidR="00360BF6" w:rsidRPr="0050019E">
          <w:rPr>
            <w:rStyle w:val="Hyperlink"/>
            <w:noProof/>
          </w:rPr>
          <w:t>Dynamics 365 Fraud Protection</w:t>
        </w:r>
        <w:r w:rsidR="00360BF6">
          <w:rPr>
            <w:noProof/>
            <w:webHidden/>
          </w:rPr>
          <w:tab/>
        </w:r>
        <w:r w:rsidR="00360BF6">
          <w:rPr>
            <w:noProof/>
            <w:webHidden/>
          </w:rPr>
          <w:fldChar w:fldCharType="begin"/>
        </w:r>
        <w:r w:rsidR="00360BF6">
          <w:rPr>
            <w:noProof/>
            <w:webHidden/>
          </w:rPr>
          <w:instrText xml:space="preserve"> PAGEREF _Toc65753075 \h </w:instrText>
        </w:r>
        <w:r w:rsidR="00360BF6">
          <w:rPr>
            <w:noProof/>
            <w:webHidden/>
          </w:rPr>
        </w:r>
        <w:r w:rsidR="00360BF6">
          <w:rPr>
            <w:noProof/>
            <w:webHidden/>
          </w:rPr>
          <w:fldChar w:fldCharType="separate"/>
        </w:r>
        <w:r w:rsidR="00846017">
          <w:rPr>
            <w:noProof/>
            <w:webHidden/>
          </w:rPr>
          <w:t>7</w:t>
        </w:r>
        <w:r w:rsidR="00360BF6">
          <w:rPr>
            <w:noProof/>
            <w:webHidden/>
          </w:rPr>
          <w:fldChar w:fldCharType="end"/>
        </w:r>
      </w:hyperlink>
    </w:p>
    <w:p w14:paraId="15A12CB2" w14:textId="1D006989" w:rsidR="00360BF6" w:rsidRDefault="002259E6">
      <w:pPr>
        <w:pStyle w:val="TOC4"/>
        <w:tabs>
          <w:tab w:val="right" w:leader="dot" w:pos="5030"/>
        </w:tabs>
        <w:rPr>
          <w:rFonts w:eastAsiaTheme="minorEastAsia"/>
          <w:smallCaps w:val="0"/>
          <w:noProof/>
          <w:sz w:val="22"/>
          <w:lang w:val="en-US" w:eastAsia="en-US" w:bidi="ar-SA"/>
        </w:rPr>
      </w:pPr>
      <w:hyperlink w:anchor="_Toc65753076" w:history="1">
        <w:r w:rsidR="00360BF6" w:rsidRPr="0050019E">
          <w:rPr>
            <w:rStyle w:val="Hyperlink"/>
            <w:noProof/>
            <w:lang w:val="en-US"/>
          </w:rPr>
          <w:t xml:space="preserve">Dynamics 365 </w:t>
        </w:r>
        <w:r w:rsidR="00360BF6" w:rsidRPr="0050019E">
          <w:rPr>
            <w:rStyle w:val="Hyperlink"/>
            <w:noProof/>
          </w:rPr>
          <w:t>Human Resources</w:t>
        </w:r>
        <w:r w:rsidR="00360BF6">
          <w:rPr>
            <w:noProof/>
            <w:webHidden/>
          </w:rPr>
          <w:tab/>
        </w:r>
        <w:r w:rsidR="00360BF6">
          <w:rPr>
            <w:noProof/>
            <w:webHidden/>
          </w:rPr>
          <w:fldChar w:fldCharType="begin"/>
        </w:r>
        <w:r w:rsidR="00360BF6">
          <w:rPr>
            <w:noProof/>
            <w:webHidden/>
          </w:rPr>
          <w:instrText xml:space="preserve"> PAGEREF _Toc65753076 \h </w:instrText>
        </w:r>
        <w:r w:rsidR="00360BF6">
          <w:rPr>
            <w:noProof/>
            <w:webHidden/>
          </w:rPr>
        </w:r>
        <w:r w:rsidR="00360BF6">
          <w:rPr>
            <w:noProof/>
            <w:webHidden/>
          </w:rPr>
          <w:fldChar w:fldCharType="separate"/>
        </w:r>
        <w:r w:rsidR="00846017">
          <w:rPr>
            <w:noProof/>
            <w:webHidden/>
          </w:rPr>
          <w:t>8</w:t>
        </w:r>
        <w:r w:rsidR="00360BF6">
          <w:rPr>
            <w:noProof/>
            <w:webHidden/>
          </w:rPr>
          <w:fldChar w:fldCharType="end"/>
        </w:r>
      </w:hyperlink>
    </w:p>
    <w:p w14:paraId="633C6A26" w14:textId="64E41DCC" w:rsidR="00360BF6" w:rsidRDefault="002259E6">
      <w:pPr>
        <w:pStyle w:val="TOC4"/>
        <w:tabs>
          <w:tab w:val="right" w:leader="dot" w:pos="5030"/>
        </w:tabs>
        <w:rPr>
          <w:rFonts w:eastAsiaTheme="minorEastAsia"/>
          <w:smallCaps w:val="0"/>
          <w:noProof/>
          <w:sz w:val="22"/>
          <w:lang w:val="en-US" w:eastAsia="en-US" w:bidi="ar-SA"/>
        </w:rPr>
      </w:pPr>
      <w:hyperlink w:anchor="_Toc65753077" w:history="1">
        <w:r w:rsidR="00360BF6" w:rsidRPr="0050019E">
          <w:rPr>
            <w:rStyle w:val="Hyperlink"/>
            <w:noProof/>
          </w:rPr>
          <w:t>Dynamics 365 Remote Assist</w:t>
        </w:r>
        <w:r w:rsidR="00360BF6">
          <w:rPr>
            <w:noProof/>
            <w:webHidden/>
          </w:rPr>
          <w:tab/>
        </w:r>
        <w:r w:rsidR="00360BF6">
          <w:rPr>
            <w:noProof/>
            <w:webHidden/>
          </w:rPr>
          <w:fldChar w:fldCharType="begin"/>
        </w:r>
        <w:r w:rsidR="00360BF6">
          <w:rPr>
            <w:noProof/>
            <w:webHidden/>
          </w:rPr>
          <w:instrText xml:space="preserve"> PAGEREF _Toc65753077 \h </w:instrText>
        </w:r>
        <w:r w:rsidR="00360BF6">
          <w:rPr>
            <w:noProof/>
            <w:webHidden/>
          </w:rPr>
        </w:r>
        <w:r w:rsidR="00360BF6">
          <w:rPr>
            <w:noProof/>
            <w:webHidden/>
          </w:rPr>
          <w:fldChar w:fldCharType="separate"/>
        </w:r>
        <w:r w:rsidR="00846017">
          <w:rPr>
            <w:noProof/>
            <w:webHidden/>
          </w:rPr>
          <w:t>8</w:t>
        </w:r>
        <w:r w:rsidR="00360BF6">
          <w:rPr>
            <w:noProof/>
            <w:webHidden/>
          </w:rPr>
          <w:fldChar w:fldCharType="end"/>
        </w:r>
      </w:hyperlink>
    </w:p>
    <w:p w14:paraId="1FC12A91" w14:textId="147FCFE7" w:rsidR="00360BF6" w:rsidRDefault="002259E6">
      <w:pPr>
        <w:pStyle w:val="TOC4"/>
        <w:tabs>
          <w:tab w:val="right" w:leader="dot" w:pos="5030"/>
        </w:tabs>
        <w:rPr>
          <w:rFonts w:eastAsiaTheme="minorEastAsia"/>
          <w:smallCaps w:val="0"/>
          <w:noProof/>
          <w:sz w:val="22"/>
          <w:lang w:val="en-US" w:eastAsia="en-US" w:bidi="ar-SA"/>
        </w:rPr>
      </w:pPr>
      <w:hyperlink w:anchor="_Toc65753078" w:history="1">
        <w:r w:rsidR="00360BF6" w:rsidRPr="0050019E">
          <w:rPr>
            <w:rStyle w:val="Hyperlink"/>
            <w:noProof/>
            <w:lang w:val="en-US"/>
          </w:rPr>
          <w:t>Dynamics 365 Sales Enterprise; Dynamics 365 Sales Professional</w:t>
        </w:r>
        <w:r w:rsidR="00360BF6">
          <w:rPr>
            <w:noProof/>
            <w:webHidden/>
          </w:rPr>
          <w:tab/>
        </w:r>
        <w:r w:rsidR="00360BF6">
          <w:rPr>
            <w:noProof/>
            <w:webHidden/>
          </w:rPr>
          <w:fldChar w:fldCharType="begin"/>
        </w:r>
        <w:r w:rsidR="00360BF6">
          <w:rPr>
            <w:noProof/>
            <w:webHidden/>
          </w:rPr>
          <w:instrText xml:space="preserve"> PAGEREF _Toc65753078 \h </w:instrText>
        </w:r>
        <w:r w:rsidR="00360BF6">
          <w:rPr>
            <w:noProof/>
            <w:webHidden/>
          </w:rPr>
        </w:r>
        <w:r w:rsidR="00360BF6">
          <w:rPr>
            <w:noProof/>
            <w:webHidden/>
          </w:rPr>
          <w:fldChar w:fldCharType="separate"/>
        </w:r>
        <w:r w:rsidR="00846017">
          <w:rPr>
            <w:noProof/>
            <w:webHidden/>
          </w:rPr>
          <w:t>9</w:t>
        </w:r>
        <w:r w:rsidR="00360BF6">
          <w:rPr>
            <w:noProof/>
            <w:webHidden/>
          </w:rPr>
          <w:fldChar w:fldCharType="end"/>
        </w:r>
      </w:hyperlink>
    </w:p>
    <w:p w14:paraId="508AD2B1" w14:textId="2BDD4A38" w:rsidR="00360BF6" w:rsidRDefault="002259E6">
      <w:pPr>
        <w:pStyle w:val="TOC4"/>
        <w:tabs>
          <w:tab w:val="right" w:leader="dot" w:pos="5030"/>
        </w:tabs>
        <w:rPr>
          <w:rFonts w:eastAsiaTheme="minorEastAsia"/>
          <w:smallCaps w:val="0"/>
          <w:noProof/>
          <w:sz w:val="22"/>
          <w:lang w:val="en-US" w:eastAsia="en-US" w:bidi="ar-SA"/>
        </w:rPr>
      </w:pPr>
      <w:hyperlink w:anchor="_Toc65753079" w:history="1">
        <w:r w:rsidR="00360BF6" w:rsidRPr="0050019E">
          <w:rPr>
            <w:rStyle w:val="Hyperlink"/>
            <w:noProof/>
            <w:lang w:val="en-US"/>
          </w:rPr>
          <w:t xml:space="preserve">Dynamics 365 </w:t>
        </w:r>
        <w:r w:rsidR="00360BF6" w:rsidRPr="0050019E">
          <w:rPr>
            <w:rStyle w:val="Hyperlink"/>
            <w:noProof/>
          </w:rPr>
          <w:t>Supply Chain Management; Dynamics 365 Finance</w:t>
        </w:r>
        <w:r w:rsidR="00360BF6" w:rsidRPr="0050019E">
          <w:rPr>
            <w:rStyle w:val="Hyperlink"/>
            <w:noProof/>
            <w:lang w:val="en-US"/>
          </w:rPr>
          <w:t>; Dynamics 365 Project Operations</w:t>
        </w:r>
        <w:r w:rsidR="00360BF6">
          <w:rPr>
            <w:noProof/>
            <w:webHidden/>
          </w:rPr>
          <w:tab/>
        </w:r>
        <w:r w:rsidR="00360BF6">
          <w:rPr>
            <w:noProof/>
            <w:webHidden/>
          </w:rPr>
          <w:fldChar w:fldCharType="begin"/>
        </w:r>
        <w:r w:rsidR="00360BF6">
          <w:rPr>
            <w:noProof/>
            <w:webHidden/>
          </w:rPr>
          <w:instrText xml:space="preserve"> PAGEREF _Toc65753079 \h </w:instrText>
        </w:r>
        <w:r w:rsidR="00360BF6">
          <w:rPr>
            <w:noProof/>
            <w:webHidden/>
          </w:rPr>
        </w:r>
        <w:r w:rsidR="00360BF6">
          <w:rPr>
            <w:noProof/>
            <w:webHidden/>
          </w:rPr>
          <w:fldChar w:fldCharType="separate"/>
        </w:r>
        <w:r w:rsidR="00846017">
          <w:rPr>
            <w:noProof/>
            <w:webHidden/>
          </w:rPr>
          <w:t>9</w:t>
        </w:r>
        <w:r w:rsidR="00360BF6">
          <w:rPr>
            <w:noProof/>
            <w:webHidden/>
          </w:rPr>
          <w:fldChar w:fldCharType="end"/>
        </w:r>
      </w:hyperlink>
    </w:p>
    <w:p w14:paraId="78C1BE38" w14:textId="12E94CF6" w:rsidR="00360BF6" w:rsidRDefault="002259E6">
      <w:pPr>
        <w:pStyle w:val="TOC2"/>
        <w:tabs>
          <w:tab w:val="right" w:leader="dot" w:pos="5030"/>
        </w:tabs>
        <w:rPr>
          <w:rFonts w:eastAsiaTheme="minorEastAsia"/>
          <w:b w:val="0"/>
          <w:smallCaps w:val="0"/>
          <w:noProof/>
          <w:sz w:val="22"/>
          <w:lang w:val="en-US" w:eastAsia="en-US" w:bidi="ar-SA"/>
        </w:rPr>
      </w:pPr>
      <w:hyperlink w:anchor="_Toc65753080" w:history="1">
        <w:r w:rsidR="00360BF6" w:rsidRPr="0050019E">
          <w:rPr>
            <w:rStyle w:val="Hyperlink"/>
            <w:noProof/>
          </w:rPr>
          <w:t>Usługi Office 365</w:t>
        </w:r>
        <w:r w:rsidR="00360BF6">
          <w:rPr>
            <w:noProof/>
            <w:webHidden/>
          </w:rPr>
          <w:tab/>
        </w:r>
        <w:r w:rsidR="00360BF6">
          <w:rPr>
            <w:noProof/>
            <w:webHidden/>
          </w:rPr>
          <w:fldChar w:fldCharType="begin"/>
        </w:r>
        <w:r w:rsidR="00360BF6">
          <w:rPr>
            <w:noProof/>
            <w:webHidden/>
          </w:rPr>
          <w:instrText xml:space="preserve"> PAGEREF _Toc65753080 \h </w:instrText>
        </w:r>
        <w:r w:rsidR="00360BF6">
          <w:rPr>
            <w:noProof/>
            <w:webHidden/>
          </w:rPr>
        </w:r>
        <w:r w:rsidR="00360BF6">
          <w:rPr>
            <w:noProof/>
            <w:webHidden/>
          </w:rPr>
          <w:fldChar w:fldCharType="separate"/>
        </w:r>
        <w:r w:rsidR="00846017">
          <w:rPr>
            <w:noProof/>
            <w:webHidden/>
          </w:rPr>
          <w:t>10</w:t>
        </w:r>
        <w:r w:rsidR="00360BF6">
          <w:rPr>
            <w:noProof/>
            <w:webHidden/>
          </w:rPr>
          <w:fldChar w:fldCharType="end"/>
        </w:r>
      </w:hyperlink>
    </w:p>
    <w:p w14:paraId="3BAB5617" w14:textId="6840965C" w:rsidR="00360BF6" w:rsidRDefault="002259E6">
      <w:pPr>
        <w:pStyle w:val="TOC4"/>
        <w:tabs>
          <w:tab w:val="right" w:leader="dot" w:pos="5030"/>
        </w:tabs>
        <w:rPr>
          <w:rFonts w:eastAsiaTheme="minorEastAsia"/>
          <w:smallCaps w:val="0"/>
          <w:noProof/>
          <w:sz w:val="22"/>
          <w:lang w:val="en-US" w:eastAsia="en-US" w:bidi="ar-SA"/>
        </w:rPr>
      </w:pPr>
      <w:hyperlink w:anchor="_Toc65753081" w:history="1">
        <w:r w:rsidR="00360BF6" w:rsidRPr="0050019E">
          <w:rPr>
            <w:rStyle w:val="Hyperlink"/>
            <w:noProof/>
          </w:rPr>
          <w:t>Duet Enterprise Online</w:t>
        </w:r>
        <w:r w:rsidR="00360BF6">
          <w:rPr>
            <w:noProof/>
            <w:webHidden/>
          </w:rPr>
          <w:tab/>
        </w:r>
        <w:r w:rsidR="00360BF6">
          <w:rPr>
            <w:noProof/>
            <w:webHidden/>
          </w:rPr>
          <w:fldChar w:fldCharType="begin"/>
        </w:r>
        <w:r w:rsidR="00360BF6">
          <w:rPr>
            <w:noProof/>
            <w:webHidden/>
          </w:rPr>
          <w:instrText xml:space="preserve"> PAGEREF _Toc65753081 \h </w:instrText>
        </w:r>
        <w:r w:rsidR="00360BF6">
          <w:rPr>
            <w:noProof/>
            <w:webHidden/>
          </w:rPr>
        </w:r>
        <w:r w:rsidR="00360BF6">
          <w:rPr>
            <w:noProof/>
            <w:webHidden/>
          </w:rPr>
          <w:fldChar w:fldCharType="separate"/>
        </w:r>
        <w:r w:rsidR="00846017">
          <w:rPr>
            <w:noProof/>
            <w:webHidden/>
          </w:rPr>
          <w:t>10</w:t>
        </w:r>
        <w:r w:rsidR="00360BF6">
          <w:rPr>
            <w:noProof/>
            <w:webHidden/>
          </w:rPr>
          <w:fldChar w:fldCharType="end"/>
        </w:r>
      </w:hyperlink>
    </w:p>
    <w:p w14:paraId="371291FD" w14:textId="197DCFE8" w:rsidR="00360BF6" w:rsidRDefault="002259E6">
      <w:pPr>
        <w:pStyle w:val="TOC4"/>
        <w:tabs>
          <w:tab w:val="right" w:leader="dot" w:pos="5030"/>
        </w:tabs>
        <w:rPr>
          <w:rFonts w:eastAsiaTheme="minorEastAsia"/>
          <w:smallCaps w:val="0"/>
          <w:noProof/>
          <w:sz w:val="22"/>
          <w:lang w:val="en-US" w:eastAsia="en-US" w:bidi="ar-SA"/>
        </w:rPr>
      </w:pPr>
      <w:hyperlink w:anchor="_Toc65753082" w:history="1">
        <w:r w:rsidR="00360BF6" w:rsidRPr="0050019E">
          <w:rPr>
            <w:rStyle w:val="Hyperlink"/>
            <w:noProof/>
          </w:rPr>
          <w:t>Exchange Online</w:t>
        </w:r>
        <w:r w:rsidR="00360BF6">
          <w:rPr>
            <w:noProof/>
            <w:webHidden/>
          </w:rPr>
          <w:tab/>
        </w:r>
        <w:r w:rsidR="00360BF6">
          <w:rPr>
            <w:noProof/>
            <w:webHidden/>
          </w:rPr>
          <w:fldChar w:fldCharType="begin"/>
        </w:r>
        <w:r w:rsidR="00360BF6">
          <w:rPr>
            <w:noProof/>
            <w:webHidden/>
          </w:rPr>
          <w:instrText xml:space="preserve"> PAGEREF _Toc65753082 \h </w:instrText>
        </w:r>
        <w:r w:rsidR="00360BF6">
          <w:rPr>
            <w:noProof/>
            <w:webHidden/>
          </w:rPr>
        </w:r>
        <w:r w:rsidR="00360BF6">
          <w:rPr>
            <w:noProof/>
            <w:webHidden/>
          </w:rPr>
          <w:fldChar w:fldCharType="separate"/>
        </w:r>
        <w:r w:rsidR="00846017">
          <w:rPr>
            <w:noProof/>
            <w:webHidden/>
          </w:rPr>
          <w:t>10</w:t>
        </w:r>
        <w:r w:rsidR="00360BF6">
          <w:rPr>
            <w:noProof/>
            <w:webHidden/>
          </w:rPr>
          <w:fldChar w:fldCharType="end"/>
        </w:r>
      </w:hyperlink>
    </w:p>
    <w:p w14:paraId="5E776462" w14:textId="295F0431" w:rsidR="00360BF6" w:rsidRDefault="002259E6">
      <w:pPr>
        <w:pStyle w:val="TOC4"/>
        <w:tabs>
          <w:tab w:val="right" w:leader="dot" w:pos="5030"/>
        </w:tabs>
        <w:rPr>
          <w:rFonts w:eastAsiaTheme="minorEastAsia"/>
          <w:smallCaps w:val="0"/>
          <w:noProof/>
          <w:sz w:val="22"/>
          <w:lang w:val="en-US" w:eastAsia="en-US" w:bidi="ar-SA"/>
        </w:rPr>
      </w:pPr>
      <w:hyperlink w:anchor="_Toc65753083" w:history="1">
        <w:r w:rsidR="00360BF6" w:rsidRPr="0050019E">
          <w:rPr>
            <w:rStyle w:val="Hyperlink"/>
            <w:noProof/>
          </w:rPr>
          <w:t>Exchange Online Archiving</w:t>
        </w:r>
        <w:r w:rsidR="00360BF6">
          <w:rPr>
            <w:noProof/>
            <w:webHidden/>
          </w:rPr>
          <w:tab/>
        </w:r>
        <w:r w:rsidR="00360BF6">
          <w:rPr>
            <w:noProof/>
            <w:webHidden/>
          </w:rPr>
          <w:fldChar w:fldCharType="begin"/>
        </w:r>
        <w:r w:rsidR="00360BF6">
          <w:rPr>
            <w:noProof/>
            <w:webHidden/>
          </w:rPr>
          <w:instrText xml:space="preserve"> PAGEREF _Toc65753083 \h </w:instrText>
        </w:r>
        <w:r w:rsidR="00360BF6">
          <w:rPr>
            <w:noProof/>
            <w:webHidden/>
          </w:rPr>
        </w:r>
        <w:r w:rsidR="00360BF6">
          <w:rPr>
            <w:noProof/>
            <w:webHidden/>
          </w:rPr>
          <w:fldChar w:fldCharType="separate"/>
        </w:r>
        <w:r w:rsidR="00846017">
          <w:rPr>
            <w:noProof/>
            <w:webHidden/>
          </w:rPr>
          <w:t>11</w:t>
        </w:r>
        <w:r w:rsidR="00360BF6">
          <w:rPr>
            <w:noProof/>
            <w:webHidden/>
          </w:rPr>
          <w:fldChar w:fldCharType="end"/>
        </w:r>
      </w:hyperlink>
    </w:p>
    <w:p w14:paraId="2552FCC3" w14:textId="27401080" w:rsidR="00360BF6" w:rsidRDefault="002259E6">
      <w:pPr>
        <w:pStyle w:val="TOC4"/>
        <w:tabs>
          <w:tab w:val="right" w:leader="dot" w:pos="5030"/>
        </w:tabs>
        <w:rPr>
          <w:rFonts w:eastAsiaTheme="minorEastAsia"/>
          <w:smallCaps w:val="0"/>
          <w:noProof/>
          <w:sz w:val="22"/>
          <w:lang w:val="en-US" w:eastAsia="en-US" w:bidi="ar-SA"/>
        </w:rPr>
      </w:pPr>
      <w:hyperlink w:anchor="_Toc65753084" w:history="1">
        <w:r w:rsidR="00360BF6" w:rsidRPr="0050019E">
          <w:rPr>
            <w:rStyle w:val="Hyperlink"/>
            <w:noProof/>
          </w:rPr>
          <w:t>Exchange Online Protection</w:t>
        </w:r>
        <w:r w:rsidR="00360BF6">
          <w:rPr>
            <w:noProof/>
            <w:webHidden/>
          </w:rPr>
          <w:tab/>
        </w:r>
        <w:r w:rsidR="00360BF6">
          <w:rPr>
            <w:noProof/>
            <w:webHidden/>
          </w:rPr>
          <w:fldChar w:fldCharType="begin"/>
        </w:r>
        <w:r w:rsidR="00360BF6">
          <w:rPr>
            <w:noProof/>
            <w:webHidden/>
          </w:rPr>
          <w:instrText xml:space="preserve"> PAGEREF _Toc65753084 \h </w:instrText>
        </w:r>
        <w:r w:rsidR="00360BF6">
          <w:rPr>
            <w:noProof/>
            <w:webHidden/>
          </w:rPr>
        </w:r>
        <w:r w:rsidR="00360BF6">
          <w:rPr>
            <w:noProof/>
            <w:webHidden/>
          </w:rPr>
          <w:fldChar w:fldCharType="separate"/>
        </w:r>
        <w:r w:rsidR="00846017">
          <w:rPr>
            <w:noProof/>
            <w:webHidden/>
          </w:rPr>
          <w:t>11</w:t>
        </w:r>
        <w:r w:rsidR="00360BF6">
          <w:rPr>
            <w:noProof/>
            <w:webHidden/>
          </w:rPr>
          <w:fldChar w:fldCharType="end"/>
        </w:r>
      </w:hyperlink>
    </w:p>
    <w:p w14:paraId="7BB793A9" w14:textId="005A9080" w:rsidR="00360BF6" w:rsidRDefault="002259E6">
      <w:pPr>
        <w:pStyle w:val="TOC4"/>
        <w:tabs>
          <w:tab w:val="right" w:leader="dot" w:pos="5030"/>
        </w:tabs>
        <w:rPr>
          <w:rFonts w:eastAsiaTheme="minorEastAsia"/>
          <w:smallCaps w:val="0"/>
          <w:noProof/>
          <w:sz w:val="22"/>
          <w:lang w:val="en-US" w:eastAsia="en-US" w:bidi="ar-SA"/>
        </w:rPr>
      </w:pPr>
      <w:hyperlink w:anchor="_Toc65753085" w:history="1">
        <w:r w:rsidR="00360BF6" w:rsidRPr="0050019E">
          <w:rPr>
            <w:rStyle w:val="Hyperlink"/>
            <w:noProof/>
          </w:rPr>
          <w:t>Microsoft MyAnalytics</w:t>
        </w:r>
        <w:r w:rsidR="00360BF6">
          <w:rPr>
            <w:noProof/>
            <w:webHidden/>
          </w:rPr>
          <w:tab/>
        </w:r>
        <w:r w:rsidR="00360BF6">
          <w:rPr>
            <w:noProof/>
            <w:webHidden/>
          </w:rPr>
          <w:fldChar w:fldCharType="begin"/>
        </w:r>
        <w:r w:rsidR="00360BF6">
          <w:rPr>
            <w:noProof/>
            <w:webHidden/>
          </w:rPr>
          <w:instrText xml:space="preserve"> PAGEREF _Toc65753085 \h </w:instrText>
        </w:r>
        <w:r w:rsidR="00360BF6">
          <w:rPr>
            <w:noProof/>
            <w:webHidden/>
          </w:rPr>
        </w:r>
        <w:r w:rsidR="00360BF6">
          <w:rPr>
            <w:noProof/>
            <w:webHidden/>
          </w:rPr>
          <w:fldChar w:fldCharType="separate"/>
        </w:r>
        <w:r w:rsidR="00846017">
          <w:rPr>
            <w:noProof/>
            <w:webHidden/>
          </w:rPr>
          <w:t>12</w:t>
        </w:r>
        <w:r w:rsidR="00360BF6">
          <w:rPr>
            <w:noProof/>
            <w:webHidden/>
          </w:rPr>
          <w:fldChar w:fldCharType="end"/>
        </w:r>
      </w:hyperlink>
    </w:p>
    <w:p w14:paraId="4CA8BDE5" w14:textId="01F00B25" w:rsidR="00360BF6" w:rsidRDefault="002259E6">
      <w:pPr>
        <w:pStyle w:val="TOC4"/>
        <w:tabs>
          <w:tab w:val="right" w:leader="dot" w:pos="5030"/>
        </w:tabs>
        <w:rPr>
          <w:rFonts w:eastAsiaTheme="minorEastAsia"/>
          <w:smallCaps w:val="0"/>
          <w:noProof/>
          <w:sz w:val="22"/>
          <w:lang w:val="en-US" w:eastAsia="en-US" w:bidi="ar-SA"/>
        </w:rPr>
      </w:pPr>
      <w:hyperlink w:anchor="_Toc65753086" w:history="1">
        <w:r w:rsidR="00360BF6" w:rsidRPr="0050019E">
          <w:rPr>
            <w:rStyle w:val="Hyperlink"/>
            <w:noProof/>
          </w:rPr>
          <w:t>Microsoft Stream</w:t>
        </w:r>
        <w:r w:rsidR="00360BF6">
          <w:rPr>
            <w:noProof/>
            <w:webHidden/>
          </w:rPr>
          <w:tab/>
        </w:r>
        <w:r w:rsidR="00360BF6">
          <w:rPr>
            <w:noProof/>
            <w:webHidden/>
          </w:rPr>
          <w:fldChar w:fldCharType="begin"/>
        </w:r>
        <w:r w:rsidR="00360BF6">
          <w:rPr>
            <w:noProof/>
            <w:webHidden/>
          </w:rPr>
          <w:instrText xml:space="preserve"> PAGEREF _Toc65753086 \h </w:instrText>
        </w:r>
        <w:r w:rsidR="00360BF6">
          <w:rPr>
            <w:noProof/>
            <w:webHidden/>
          </w:rPr>
        </w:r>
        <w:r w:rsidR="00360BF6">
          <w:rPr>
            <w:noProof/>
            <w:webHidden/>
          </w:rPr>
          <w:fldChar w:fldCharType="separate"/>
        </w:r>
        <w:r w:rsidR="00846017">
          <w:rPr>
            <w:noProof/>
            <w:webHidden/>
          </w:rPr>
          <w:t>12</w:t>
        </w:r>
        <w:r w:rsidR="00360BF6">
          <w:rPr>
            <w:noProof/>
            <w:webHidden/>
          </w:rPr>
          <w:fldChar w:fldCharType="end"/>
        </w:r>
      </w:hyperlink>
    </w:p>
    <w:p w14:paraId="0089CBA5" w14:textId="7C0D154F" w:rsidR="00360BF6" w:rsidRDefault="002259E6">
      <w:pPr>
        <w:pStyle w:val="TOC4"/>
        <w:tabs>
          <w:tab w:val="right" w:leader="dot" w:pos="5030"/>
        </w:tabs>
        <w:rPr>
          <w:rFonts w:eastAsiaTheme="minorEastAsia"/>
          <w:smallCaps w:val="0"/>
          <w:noProof/>
          <w:sz w:val="22"/>
          <w:lang w:val="en-US" w:eastAsia="en-US" w:bidi="ar-SA"/>
        </w:rPr>
      </w:pPr>
      <w:hyperlink w:anchor="_Toc65753087" w:history="1">
        <w:r w:rsidR="00360BF6" w:rsidRPr="0050019E">
          <w:rPr>
            <w:rStyle w:val="Hyperlink"/>
            <w:noProof/>
          </w:rPr>
          <w:t>Microsoft Teams</w:t>
        </w:r>
        <w:r w:rsidR="00360BF6">
          <w:rPr>
            <w:noProof/>
            <w:webHidden/>
          </w:rPr>
          <w:tab/>
        </w:r>
        <w:r w:rsidR="00360BF6">
          <w:rPr>
            <w:noProof/>
            <w:webHidden/>
          </w:rPr>
          <w:fldChar w:fldCharType="begin"/>
        </w:r>
        <w:r w:rsidR="00360BF6">
          <w:rPr>
            <w:noProof/>
            <w:webHidden/>
          </w:rPr>
          <w:instrText xml:space="preserve"> PAGEREF _Toc65753087 \h </w:instrText>
        </w:r>
        <w:r w:rsidR="00360BF6">
          <w:rPr>
            <w:noProof/>
            <w:webHidden/>
          </w:rPr>
        </w:r>
        <w:r w:rsidR="00360BF6">
          <w:rPr>
            <w:noProof/>
            <w:webHidden/>
          </w:rPr>
          <w:fldChar w:fldCharType="separate"/>
        </w:r>
        <w:r w:rsidR="00846017">
          <w:rPr>
            <w:noProof/>
            <w:webHidden/>
          </w:rPr>
          <w:t>12</w:t>
        </w:r>
        <w:r w:rsidR="00360BF6">
          <w:rPr>
            <w:noProof/>
            <w:webHidden/>
          </w:rPr>
          <w:fldChar w:fldCharType="end"/>
        </w:r>
      </w:hyperlink>
    </w:p>
    <w:p w14:paraId="41561710" w14:textId="20417ACA" w:rsidR="00360BF6" w:rsidRDefault="002259E6">
      <w:pPr>
        <w:pStyle w:val="TOC4"/>
        <w:tabs>
          <w:tab w:val="right" w:leader="dot" w:pos="5030"/>
        </w:tabs>
        <w:rPr>
          <w:rFonts w:eastAsiaTheme="minorEastAsia"/>
          <w:smallCaps w:val="0"/>
          <w:noProof/>
          <w:sz w:val="22"/>
          <w:lang w:val="en-US" w:eastAsia="en-US" w:bidi="ar-SA"/>
        </w:rPr>
      </w:pPr>
      <w:hyperlink w:anchor="_Toc65753088" w:history="1">
        <w:r w:rsidR="00360BF6" w:rsidRPr="0050019E">
          <w:rPr>
            <w:rStyle w:val="Hyperlink"/>
            <w:noProof/>
          </w:rPr>
          <w:t>Microsoft 365 Apps for business</w:t>
        </w:r>
        <w:r w:rsidR="00360BF6">
          <w:rPr>
            <w:noProof/>
            <w:webHidden/>
          </w:rPr>
          <w:tab/>
        </w:r>
        <w:r w:rsidR="00360BF6">
          <w:rPr>
            <w:noProof/>
            <w:webHidden/>
          </w:rPr>
          <w:fldChar w:fldCharType="begin"/>
        </w:r>
        <w:r w:rsidR="00360BF6">
          <w:rPr>
            <w:noProof/>
            <w:webHidden/>
          </w:rPr>
          <w:instrText xml:space="preserve"> PAGEREF _Toc65753088 \h </w:instrText>
        </w:r>
        <w:r w:rsidR="00360BF6">
          <w:rPr>
            <w:noProof/>
            <w:webHidden/>
          </w:rPr>
        </w:r>
        <w:r w:rsidR="00360BF6">
          <w:rPr>
            <w:noProof/>
            <w:webHidden/>
          </w:rPr>
          <w:fldChar w:fldCharType="separate"/>
        </w:r>
        <w:r w:rsidR="00846017">
          <w:rPr>
            <w:noProof/>
            <w:webHidden/>
          </w:rPr>
          <w:t>13</w:t>
        </w:r>
        <w:r w:rsidR="00360BF6">
          <w:rPr>
            <w:noProof/>
            <w:webHidden/>
          </w:rPr>
          <w:fldChar w:fldCharType="end"/>
        </w:r>
      </w:hyperlink>
    </w:p>
    <w:p w14:paraId="1EBF9B68" w14:textId="6D4D9C97" w:rsidR="00360BF6" w:rsidRDefault="002259E6">
      <w:pPr>
        <w:pStyle w:val="TOC4"/>
        <w:tabs>
          <w:tab w:val="right" w:leader="dot" w:pos="5030"/>
        </w:tabs>
        <w:rPr>
          <w:rFonts w:eastAsiaTheme="minorEastAsia"/>
          <w:smallCaps w:val="0"/>
          <w:noProof/>
          <w:sz w:val="22"/>
          <w:lang w:val="en-US" w:eastAsia="en-US" w:bidi="ar-SA"/>
        </w:rPr>
      </w:pPr>
      <w:hyperlink w:anchor="_Toc65753089" w:history="1">
        <w:r w:rsidR="00360BF6" w:rsidRPr="0050019E">
          <w:rPr>
            <w:rStyle w:val="Hyperlink"/>
            <w:noProof/>
          </w:rPr>
          <w:t>Microsoft 365 Apps for enterprise</w:t>
        </w:r>
        <w:r w:rsidR="00360BF6">
          <w:rPr>
            <w:noProof/>
            <w:webHidden/>
          </w:rPr>
          <w:tab/>
        </w:r>
        <w:r w:rsidR="00360BF6">
          <w:rPr>
            <w:noProof/>
            <w:webHidden/>
          </w:rPr>
          <w:fldChar w:fldCharType="begin"/>
        </w:r>
        <w:r w:rsidR="00360BF6">
          <w:rPr>
            <w:noProof/>
            <w:webHidden/>
          </w:rPr>
          <w:instrText xml:space="preserve"> PAGEREF _Toc65753089 \h </w:instrText>
        </w:r>
        <w:r w:rsidR="00360BF6">
          <w:rPr>
            <w:noProof/>
            <w:webHidden/>
          </w:rPr>
        </w:r>
        <w:r w:rsidR="00360BF6">
          <w:rPr>
            <w:noProof/>
            <w:webHidden/>
          </w:rPr>
          <w:fldChar w:fldCharType="separate"/>
        </w:r>
        <w:r w:rsidR="00846017">
          <w:rPr>
            <w:noProof/>
            <w:webHidden/>
          </w:rPr>
          <w:t>13</w:t>
        </w:r>
        <w:r w:rsidR="00360BF6">
          <w:rPr>
            <w:noProof/>
            <w:webHidden/>
          </w:rPr>
          <w:fldChar w:fldCharType="end"/>
        </w:r>
      </w:hyperlink>
    </w:p>
    <w:p w14:paraId="37B99483" w14:textId="6BBCF42F" w:rsidR="00360BF6" w:rsidRDefault="002259E6">
      <w:pPr>
        <w:pStyle w:val="TOC4"/>
        <w:tabs>
          <w:tab w:val="right" w:leader="dot" w:pos="5030"/>
        </w:tabs>
        <w:rPr>
          <w:rFonts w:eastAsiaTheme="minorEastAsia"/>
          <w:smallCaps w:val="0"/>
          <w:noProof/>
          <w:sz w:val="22"/>
          <w:lang w:val="en-US" w:eastAsia="en-US" w:bidi="ar-SA"/>
        </w:rPr>
      </w:pPr>
      <w:hyperlink w:anchor="_Toc65753090" w:history="1">
        <w:r w:rsidR="00360BF6" w:rsidRPr="0050019E">
          <w:rPr>
            <w:rStyle w:val="Hyperlink"/>
            <w:noProof/>
          </w:rPr>
          <w:t>Office 365 Advanced Compliance</w:t>
        </w:r>
        <w:r w:rsidR="00360BF6">
          <w:rPr>
            <w:noProof/>
            <w:webHidden/>
          </w:rPr>
          <w:tab/>
        </w:r>
        <w:r w:rsidR="00360BF6">
          <w:rPr>
            <w:noProof/>
            <w:webHidden/>
          </w:rPr>
          <w:fldChar w:fldCharType="begin"/>
        </w:r>
        <w:r w:rsidR="00360BF6">
          <w:rPr>
            <w:noProof/>
            <w:webHidden/>
          </w:rPr>
          <w:instrText xml:space="preserve"> PAGEREF _Toc65753090 \h </w:instrText>
        </w:r>
        <w:r w:rsidR="00360BF6">
          <w:rPr>
            <w:noProof/>
            <w:webHidden/>
          </w:rPr>
        </w:r>
        <w:r w:rsidR="00360BF6">
          <w:rPr>
            <w:noProof/>
            <w:webHidden/>
          </w:rPr>
          <w:fldChar w:fldCharType="separate"/>
        </w:r>
        <w:r w:rsidR="00846017">
          <w:rPr>
            <w:noProof/>
            <w:webHidden/>
          </w:rPr>
          <w:t>14</w:t>
        </w:r>
        <w:r w:rsidR="00360BF6">
          <w:rPr>
            <w:noProof/>
            <w:webHidden/>
          </w:rPr>
          <w:fldChar w:fldCharType="end"/>
        </w:r>
      </w:hyperlink>
    </w:p>
    <w:p w14:paraId="6583341D" w14:textId="463E0475" w:rsidR="00360BF6" w:rsidRDefault="002259E6">
      <w:pPr>
        <w:pStyle w:val="TOC4"/>
        <w:tabs>
          <w:tab w:val="right" w:leader="dot" w:pos="5030"/>
        </w:tabs>
        <w:rPr>
          <w:rFonts w:eastAsiaTheme="minorEastAsia"/>
          <w:smallCaps w:val="0"/>
          <w:noProof/>
          <w:sz w:val="22"/>
          <w:lang w:val="en-US" w:eastAsia="en-US" w:bidi="ar-SA"/>
        </w:rPr>
      </w:pPr>
      <w:hyperlink w:anchor="_Toc65753091" w:history="1">
        <w:r w:rsidR="00360BF6" w:rsidRPr="0050019E">
          <w:rPr>
            <w:rStyle w:val="Hyperlink"/>
            <w:noProof/>
          </w:rPr>
          <w:t>Office Online</w:t>
        </w:r>
        <w:r w:rsidR="00360BF6">
          <w:rPr>
            <w:noProof/>
            <w:webHidden/>
          </w:rPr>
          <w:tab/>
        </w:r>
        <w:r w:rsidR="00360BF6">
          <w:rPr>
            <w:noProof/>
            <w:webHidden/>
          </w:rPr>
          <w:fldChar w:fldCharType="begin"/>
        </w:r>
        <w:r w:rsidR="00360BF6">
          <w:rPr>
            <w:noProof/>
            <w:webHidden/>
          </w:rPr>
          <w:instrText xml:space="preserve"> PAGEREF _Toc65753091 \h </w:instrText>
        </w:r>
        <w:r w:rsidR="00360BF6">
          <w:rPr>
            <w:noProof/>
            <w:webHidden/>
          </w:rPr>
        </w:r>
        <w:r w:rsidR="00360BF6">
          <w:rPr>
            <w:noProof/>
            <w:webHidden/>
          </w:rPr>
          <w:fldChar w:fldCharType="separate"/>
        </w:r>
        <w:r w:rsidR="00846017">
          <w:rPr>
            <w:noProof/>
            <w:webHidden/>
          </w:rPr>
          <w:t>14</w:t>
        </w:r>
        <w:r w:rsidR="00360BF6">
          <w:rPr>
            <w:noProof/>
            <w:webHidden/>
          </w:rPr>
          <w:fldChar w:fldCharType="end"/>
        </w:r>
      </w:hyperlink>
    </w:p>
    <w:p w14:paraId="75732428" w14:textId="179880CA" w:rsidR="00360BF6" w:rsidRDefault="002259E6">
      <w:pPr>
        <w:pStyle w:val="TOC4"/>
        <w:tabs>
          <w:tab w:val="right" w:leader="dot" w:pos="5030"/>
        </w:tabs>
        <w:rPr>
          <w:rFonts w:eastAsiaTheme="minorEastAsia"/>
          <w:smallCaps w:val="0"/>
          <w:noProof/>
          <w:sz w:val="22"/>
          <w:lang w:val="en-US" w:eastAsia="en-US" w:bidi="ar-SA"/>
        </w:rPr>
      </w:pPr>
      <w:hyperlink w:anchor="_Toc65753092" w:history="1">
        <w:r w:rsidR="00360BF6" w:rsidRPr="0050019E">
          <w:rPr>
            <w:rStyle w:val="Hyperlink"/>
            <w:noProof/>
          </w:rPr>
          <w:t>Wideo Office 365</w:t>
        </w:r>
        <w:r w:rsidR="00360BF6">
          <w:rPr>
            <w:noProof/>
            <w:webHidden/>
          </w:rPr>
          <w:tab/>
        </w:r>
        <w:r w:rsidR="00360BF6">
          <w:rPr>
            <w:noProof/>
            <w:webHidden/>
          </w:rPr>
          <w:fldChar w:fldCharType="begin"/>
        </w:r>
        <w:r w:rsidR="00360BF6">
          <w:rPr>
            <w:noProof/>
            <w:webHidden/>
          </w:rPr>
          <w:instrText xml:space="preserve"> PAGEREF _Toc65753092 \h </w:instrText>
        </w:r>
        <w:r w:rsidR="00360BF6">
          <w:rPr>
            <w:noProof/>
            <w:webHidden/>
          </w:rPr>
        </w:r>
        <w:r w:rsidR="00360BF6">
          <w:rPr>
            <w:noProof/>
            <w:webHidden/>
          </w:rPr>
          <w:fldChar w:fldCharType="separate"/>
        </w:r>
        <w:r w:rsidR="00846017">
          <w:rPr>
            <w:noProof/>
            <w:webHidden/>
          </w:rPr>
          <w:t>14</w:t>
        </w:r>
        <w:r w:rsidR="00360BF6">
          <w:rPr>
            <w:noProof/>
            <w:webHidden/>
          </w:rPr>
          <w:fldChar w:fldCharType="end"/>
        </w:r>
      </w:hyperlink>
    </w:p>
    <w:p w14:paraId="5D3F1AC0" w14:textId="40836CA4" w:rsidR="00360BF6" w:rsidRDefault="002259E6">
      <w:pPr>
        <w:pStyle w:val="TOC4"/>
        <w:tabs>
          <w:tab w:val="right" w:leader="dot" w:pos="5030"/>
        </w:tabs>
        <w:rPr>
          <w:rFonts w:eastAsiaTheme="minorEastAsia"/>
          <w:smallCaps w:val="0"/>
          <w:noProof/>
          <w:sz w:val="22"/>
          <w:lang w:val="en-US" w:eastAsia="en-US" w:bidi="ar-SA"/>
        </w:rPr>
      </w:pPr>
      <w:hyperlink w:anchor="_Toc65753093" w:history="1">
        <w:r w:rsidR="00360BF6" w:rsidRPr="0050019E">
          <w:rPr>
            <w:rStyle w:val="Hyperlink"/>
            <w:noProof/>
          </w:rPr>
          <w:t>OneDrive for Business</w:t>
        </w:r>
        <w:r w:rsidR="00360BF6">
          <w:rPr>
            <w:noProof/>
            <w:webHidden/>
          </w:rPr>
          <w:tab/>
        </w:r>
        <w:r w:rsidR="00360BF6">
          <w:rPr>
            <w:noProof/>
            <w:webHidden/>
          </w:rPr>
          <w:fldChar w:fldCharType="begin"/>
        </w:r>
        <w:r w:rsidR="00360BF6">
          <w:rPr>
            <w:noProof/>
            <w:webHidden/>
          </w:rPr>
          <w:instrText xml:space="preserve"> PAGEREF _Toc65753093 \h </w:instrText>
        </w:r>
        <w:r w:rsidR="00360BF6">
          <w:rPr>
            <w:noProof/>
            <w:webHidden/>
          </w:rPr>
        </w:r>
        <w:r w:rsidR="00360BF6">
          <w:rPr>
            <w:noProof/>
            <w:webHidden/>
          </w:rPr>
          <w:fldChar w:fldCharType="separate"/>
        </w:r>
        <w:r w:rsidR="00846017">
          <w:rPr>
            <w:noProof/>
            <w:webHidden/>
          </w:rPr>
          <w:t>15</w:t>
        </w:r>
        <w:r w:rsidR="00360BF6">
          <w:rPr>
            <w:noProof/>
            <w:webHidden/>
          </w:rPr>
          <w:fldChar w:fldCharType="end"/>
        </w:r>
      </w:hyperlink>
    </w:p>
    <w:p w14:paraId="58F21A48" w14:textId="4BDBF2B0" w:rsidR="00360BF6" w:rsidRDefault="002259E6">
      <w:pPr>
        <w:pStyle w:val="TOC4"/>
        <w:tabs>
          <w:tab w:val="right" w:leader="dot" w:pos="5030"/>
        </w:tabs>
        <w:rPr>
          <w:rFonts w:eastAsiaTheme="minorEastAsia"/>
          <w:smallCaps w:val="0"/>
          <w:noProof/>
          <w:sz w:val="22"/>
          <w:lang w:val="en-US" w:eastAsia="en-US" w:bidi="ar-SA"/>
        </w:rPr>
      </w:pPr>
      <w:hyperlink w:anchor="_Toc65753094" w:history="1">
        <w:r w:rsidR="00360BF6" w:rsidRPr="0050019E">
          <w:rPr>
            <w:rStyle w:val="Hyperlink"/>
            <w:noProof/>
          </w:rPr>
          <w:t>Project</w:t>
        </w:r>
        <w:r w:rsidR="00360BF6">
          <w:rPr>
            <w:noProof/>
            <w:webHidden/>
          </w:rPr>
          <w:tab/>
        </w:r>
        <w:r w:rsidR="00360BF6">
          <w:rPr>
            <w:noProof/>
            <w:webHidden/>
          </w:rPr>
          <w:fldChar w:fldCharType="begin"/>
        </w:r>
        <w:r w:rsidR="00360BF6">
          <w:rPr>
            <w:noProof/>
            <w:webHidden/>
          </w:rPr>
          <w:instrText xml:space="preserve"> PAGEREF _Toc65753094 \h </w:instrText>
        </w:r>
        <w:r w:rsidR="00360BF6">
          <w:rPr>
            <w:noProof/>
            <w:webHidden/>
          </w:rPr>
        </w:r>
        <w:r w:rsidR="00360BF6">
          <w:rPr>
            <w:noProof/>
            <w:webHidden/>
          </w:rPr>
          <w:fldChar w:fldCharType="separate"/>
        </w:r>
        <w:r w:rsidR="00846017">
          <w:rPr>
            <w:noProof/>
            <w:webHidden/>
          </w:rPr>
          <w:t>15</w:t>
        </w:r>
        <w:r w:rsidR="00360BF6">
          <w:rPr>
            <w:noProof/>
            <w:webHidden/>
          </w:rPr>
          <w:fldChar w:fldCharType="end"/>
        </w:r>
      </w:hyperlink>
    </w:p>
    <w:p w14:paraId="5AE71086" w14:textId="7766B324" w:rsidR="00360BF6" w:rsidRDefault="002259E6">
      <w:pPr>
        <w:pStyle w:val="TOC4"/>
        <w:tabs>
          <w:tab w:val="right" w:leader="dot" w:pos="5030"/>
        </w:tabs>
        <w:rPr>
          <w:rFonts w:eastAsiaTheme="minorEastAsia"/>
          <w:smallCaps w:val="0"/>
          <w:noProof/>
          <w:sz w:val="22"/>
          <w:lang w:val="en-US" w:eastAsia="en-US" w:bidi="ar-SA"/>
        </w:rPr>
      </w:pPr>
      <w:hyperlink w:anchor="_Toc65753095" w:history="1">
        <w:r w:rsidR="00360BF6" w:rsidRPr="0050019E">
          <w:rPr>
            <w:rStyle w:val="Hyperlink"/>
            <w:noProof/>
          </w:rPr>
          <w:t>SharePoint Online</w:t>
        </w:r>
        <w:r w:rsidR="00360BF6">
          <w:rPr>
            <w:noProof/>
            <w:webHidden/>
          </w:rPr>
          <w:tab/>
        </w:r>
        <w:r w:rsidR="00360BF6">
          <w:rPr>
            <w:noProof/>
            <w:webHidden/>
          </w:rPr>
          <w:fldChar w:fldCharType="begin"/>
        </w:r>
        <w:r w:rsidR="00360BF6">
          <w:rPr>
            <w:noProof/>
            <w:webHidden/>
          </w:rPr>
          <w:instrText xml:space="preserve"> PAGEREF _Toc65753095 \h </w:instrText>
        </w:r>
        <w:r w:rsidR="00360BF6">
          <w:rPr>
            <w:noProof/>
            <w:webHidden/>
          </w:rPr>
        </w:r>
        <w:r w:rsidR="00360BF6">
          <w:rPr>
            <w:noProof/>
            <w:webHidden/>
          </w:rPr>
          <w:fldChar w:fldCharType="separate"/>
        </w:r>
        <w:r w:rsidR="00846017">
          <w:rPr>
            <w:noProof/>
            <w:webHidden/>
          </w:rPr>
          <w:t>15</w:t>
        </w:r>
        <w:r w:rsidR="00360BF6">
          <w:rPr>
            <w:noProof/>
            <w:webHidden/>
          </w:rPr>
          <w:fldChar w:fldCharType="end"/>
        </w:r>
      </w:hyperlink>
    </w:p>
    <w:p w14:paraId="6D71D2BF" w14:textId="4AC4A04D" w:rsidR="00360BF6" w:rsidRDefault="002259E6">
      <w:pPr>
        <w:pStyle w:val="TOC4"/>
        <w:tabs>
          <w:tab w:val="right" w:leader="dot" w:pos="5030"/>
        </w:tabs>
        <w:rPr>
          <w:rFonts w:eastAsiaTheme="minorEastAsia"/>
          <w:smallCaps w:val="0"/>
          <w:noProof/>
          <w:sz w:val="22"/>
          <w:lang w:val="en-US" w:eastAsia="en-US" w:bidi="ar-SA"/>
        </w:rPr>
      </w:pPr>
      <w:hyperlink w:anchor="_Toc65753096" w:history="1">
        <w:r w:rsidR="00360BF6" w:rsidRPr="0050019E">
          <w:rPr>
            <w:rStyle w:val="Hyperlink"/>
            <w:noProof/>
          </w:rPr>
          <w:t>Skype dla firm Online</w:t>
        </w:r>
        <w:r w:rsidR="00360BF6">
          <w:rPr>
            <w:noProof/>
            <w:webHidden/>
          </w:rPr>
          <w:tab/>
        </w:r>
        <w:r w:rsidR="00360BF6">
          <w:rPr>
            <w:noProof/>
            <w:webHidden/>
          </w:rPr>
          <w:fldChar w:fldCharType="begin"/>
        </w:r>
        <w:r w:rsidR="00360BF6">
          <w:rPr>
            <w:noProof/>
            <w:webHidden/>
          </w:rPr>
          <w:instrText xml:space="preserve"> PAGEREF _Toc65753096 \h </w:instrText>
        </w:r>
        <w:r w:rsidR="00360BF6">
          <w:rPr>
            <w:noProof/>
            <w:webHidden/>
          </w:rPr>
        </w:r>
        <w:r w:rsidR="00360BF6">
          <w:rPr>
            <w:noProof/>
            <w:webHidden/>
          </w:rPr>
          <w:fldChar w:fldCharType="separate"/>
        </w:r>
        <w:r w:rsidR="00846017">
          <w:rPr>
            <w:noProof/>
            <w:webHidden/>
          </w:rPr>
          <w:t>16</w:t>
        </w:r>
        <w:r w:rsidR="00360BF6">
          <w:rPr>
            <w:noProof/>
            <w:webHidden/>
          </w:rPr>
          <w:fldChar w:fldCharType="end"/>
        </w:r>
      </w:hyperlink>
    </w:p>
    <w:p w14:paraId="42AEE312" w14:textId="794B7175" w:rsidR="00360BF6" w:rsidRDefault="002259E6">
      <w:pPr>
        <w:pStyle w:val="TOC4"/>
        <w:tabs>
          <w:tab w:val="right" w:leader="dot" w:pos="5030"/>
        </w:tabs>
        <w:rPr>
          <w:rFonts w:eastAsiaTheme="minorEastAsia"/>
          <w:smallCaps w:val="0"/>
          <w:noProof/>
          <w:sz w:val="22"/>
          <w:lang w:val="en-US" w:eastAsia="en-US" w:bidi="ar-SA"/>
        </w:rPr>
      </w:pPr>
      <w:hyperlink w:anchor="_Toc65753097" w:history="1">
        <w:r w:rsidR="00360BF6" w:rsidRPr="0050019E">
          <w:rPr>
            <w:rStyle w:val="Hyperlink"/>
            <w:noProof/>
          </w:rPr>
          <w:t>Pakiety telefoniczne i konferencje głosowe w oprogramowaniu Microsoft Teams</w:t>
        </w:r>
        <w:r w:rsidR="00360BF6">
          <w:rPr>
            <w:noProof/>
            <w:webHidden/>
          </w:rPr>
          <w:tab/>
        </w:r>
        <w:r w:rsidR="00360BF6">
          <w:rPr>
            <w:noProof/>
            <w:webHidden/>
          </w:rPr>
          <w:fldChar w:fldCharType="begin"/>
        </w:r>
        <w:r w:rsidR="00360BF6">
          <w:rPr>
            <w:noProof/>
            <w:webHidden/>
          </w:rPr>
          <w:instrText xml:space="preserve"> PAGEREF _Toc65753097 \h </w:instrText>
        </w:r>
        <w:r w:rsidR="00360BF6">
          <w:rPr>
            <w:noProof/>
            <w:webHidden/>
          </w:rPr>
        </w:r>
        <w:r w:rsidR="00360BF6">
          <w:rPr>
            <w:noProof/>
            <w:webHidden/>
          </w:rPr>
          <w:fldChar w:fldCharType="separate"/>
        </w:r>
        <w:r w:rsidR="00846017">
          <w:rPr>
            <w:noProof/>
            <w:webHidden/>
          </w:rPr>
          <w:t>16</w:t>
        </w:r>
        <w:r w:rsidR="00360BF6">
          <w:rPr>
            <w:noProof/>
            <w:webHidden/>
          </w:rPr>
          <w:fldChar w:fldCharType="end"/>
        </w:r>
      </w:hyperlink>
    </w:p>
    <w:p w14:paraId="4A4A02C7" w14:textId="631079F4" w:rsidR="00360BF6" w:rsidRDefault="002259E6">
      <w:pPr>
        <w:pStyle w:val="TOC4"/>
        <w:tabs>
          <w:tab w:val="right" w:leader="dot" w:pos="5030"/>
        </w:tabs>
        <w:rPr>
          <w:rFonts w:eastAsiaTheme="minorEastAsia"/>
          <w:smallCaps w:val="0"/>
          <w:noProof/>
          <w:sz w:val="22"/>
          <w:lang w:val="en-US" w:eastAsia="en-US" w:bidi="ar-SA"/>
        </w:rPr>
      </w:pPr>
      <w:hyperlink w:anchor="_Toc65753098" w:history="1">
        <w:r w:rsidR="00360BF6" w:rsidRPr="0050019E">
          <w:rPr>
            <w:rStyle w:val="Hyperlink"/>
            <w:noProof/>
          </w:rPr>
          <w:t>Jakość głosu w oprogramowaniu Microsoft Teams</w:t>
        </w:r>
        <w:r w:rsidR="00360BF6">
          <w:rPr>
            <w:noProof/>
            <w:webHidden/>
          </w:rPr>
          <w:tab/>
        </w:r>
        <w:r w:rsidR="00360BF6">
          <w:rPr>
            <w:noProof/>
            <w:webHidden/>
          </w:rPr>
          <w:fldChar w:fldCharType="begin"/>
        </w:r>
        <w:r w:rsidR="00360BF6">
          <w:rPr>
            <w:noProof/>
            <w:webHidden/>
          </w:rPr>
          <w:instrText xml:space="preserve"> PAGEREF _Toc65753098 \h </w:instrText>
        </w:r>
        <w:r w:rsidR="00360BF6">
          <w:rPr>
            <w:noProof/>
            <w:webHidden/>
          </w:rPr>
        </w:r>
        <w:r w:rsidR="00360BF6">
          <w:rPr>
            <w:noProof/>
            <w:webHidden/>
          </w:rPr>
          <w:fldChar w:fldCharType="separate"/>
        </w:r>
        <w:r w:rsidR="00846017">
          <w:rPr>
            <w:noProof/>
            <w:webHidden/>
          </w:rPr>
          <w:t>16</w:t>
        </w:r>
        <w:r w:rsidR="00360BF6">
          <w:rPr>
            <w:noProof/>
            <w:webHidden/>
          </w:rPr>
          <w:fldChar w:fldCharType="end"/>
        </w:r>
      </w:hyperlink>
    </w:p>
    <w:p w14:paraId="145972F3" w14:textId="4004149B" w:rsidR="00360BF6" w:rsidRDefault="002259E6">
      <w:pPr>
        <w:pStyle w:val="TOC4"/>
        <w:tabs>
          <w:tab w:val="right" w:leader="dot" w:pos="5030"/>
        </w:tabs>
        <w:rPr>
          <w:rFonts w:eastAsiaTheme="minorEastAsia"/>
          <w:smallCaps w:val="0"/>
          <w:noProof/>
          <w:sz w:val="22"/>
          <w:lang w:val="en-US" w:eastAsia="en-US" w:bidi="ar-SA"/>
        </w:rPr>
      </w:pPr>
      <w:hyperlink w:anchor="_Toc65753099" w:history="1">
        <w:r w:rsidR="00360BF6" w:rsidRPr="0050019E">
          <w:rPr>
            <w:rStyle w:val="Hyperlink"/>
            <w:noProof/>
          </w:rPr>
          <w:t>Usługa Workplace Analytics</w:t>
        </w:r>
        <w:r w:rsidR="00360BF6">
          <w:rPr>
            <w:noProof/>
            <w:webHidden/>
          </w:rPr>
          <w:tab/>
        </w:r>
        <w:r w:rsidR="00360BF6">
          <w:rPr>
            <w:noProof/>
            <w:webHidden/>
          </w:rPr>
          <w:fldChar w:fldCharType="begin"/>
        </w:r>
        <w:r w:rsidR="00360BF6">
          <w:rPr>
            <w:noProof/>
            <w:webHidden/>
          </w:rPr>
          <w:instrText xml:space="preserve"> PAGEREF _Toc65753099 \h </w:instrText>
        </w:r>
        <w:r w:rsidR="00360BF6">
          <w:rPr>
            <w:noProof/>
            <w:webHidden/>
          </w:rPr>
        </w:r>
        <w:r w:rsidR="00360BF6">
          <w:rPr>
            <w:noProof/>
            <w:webHidden/>
          </w:rPr>
          <w:fldChar w:fldCharType="separate"/>
        </w:r>
        <w:r w:rsidR="00846017">
          <w:rPr>
            <w:noProof/>
            <w:webHidden/>
          </w:rPr>
          <w:t>17</w:t>
        </w:r>
        <w:r w:rsidR="00360BF6">
          <w:rPr>
            <w:noProof/>
            <w:webHidden/>
          </w:rPr>
          <w:fldChar w:fldCharType="end"/>
        </w:r>
      </w:hyperlink>
    </w:p>
    <w:p w14:paraId="469B81E9" w14:textId="35367985" w:rsidR="00360BF6" w:rsidRDefault="002259E6">
      <w:pPr>
        <w:pStyle w:val="TOC4"/>
        <w:tabs>
          <w:tab w:val="right" w:leader="dot" w:pos="5030"/>
        </w:tabs>
        <w:rPr>
          <w:rFonts w:eastAsiaTheme="minorEastAsia"/>
          <w:smallCaps w:val="0"/>
          <w:noProof/>
          <w:sz w:val="22"/>
          <w:lang w:val="en-US" w:eastAsia="en-US" w:bidi="ar-SA"/>
        </w:rPr>
      </w:pPr>
      <w:hyperlink w:anchor="_Toc65753100" w:history="1">
        <w:r w:rsidR="00360BF6" w:rsidRPr="0050019E">
          <w:rPr>
            <w:rStyle w:val="Hyperlink"/>
            <w:noProof/>
          </w:rPr>
          <w:t>Yammer Enterprise</w:t>
        </w:r>
        <w:r w:rsidR="00360BF6">
          <w:rPr>
            <w:noProof/>
            <w:webHidden/>
          </w:rPr>
          <w:tab/>
        </w:r>
        <w:r w:rsidR="00360BF6">
          <w:rPr>
            <w:noProof/>
            <w:webHidden/>
          </w:rPr>
          <w:fldChar w:fldCharType="begin"/>
        </w:r>
        <w:r w:rsidR="00360BF6">
          <w:rPr>
            <w:noProof/>
            <w:webHidden/>
          </w:rPr>
          <w:instrText xml:space="preserve"> PAGEREF _Toc65753100 \h </w:instrText>
        </w:r>
        <w:r w:rsidR="00360BF6">
          <w:rPr>
            <w:noProof/>
            <w:webHidden/>
          </w:rPr>
        </w:r>
        <w:r w:rsidR="00360BF6">
          <w:rPr>
            <w:noProof/>
            <w:webHidden/>
          </w:rPr>
          <w:fldChar w:fldCharType="separate"/>
        </w:r>
        <w:r w:rsidR="00846017">
          <w:rPr>
            <w:noProof/>
            <w:webHidden/>
          </w:rPr>
          <w:t>17</w:t>
        </w:r>
        <w:r w:rsidR="00360BF6">
          <w:rPr>
            <w:noProof/>
            <w:webHidden/>
          </w:rPr>
          <w:fldChar w:fldCharType="end"/>
        </w:r>
      </w:hyperlink>
    </w:p>
    <w:p w14:paraId="56D392DF" w14:textId="3A583FBA" w:rsidR="00360BF6" w:rsidRDefault="00360BF6">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3101" w:history="1">
        <w:r w:rsidRPr="0050019E">
          <w:rPr>
            <w:rStyle w:val="Hyperlink"/>
            <w:noProof/>
          </w:rPr>
          <w:t>Usługi Microsoft Azure i Plany Azure</w:t>
        </w:r>
        <w:r>
          <w:rPr>
            <w:noProof/>
            <w:webHidden/>
          </w:rPr>
          <w:tab/>
        </w:r>
        <w:r>
          <w:rPr>
            <w:noProof/>
            <w:webHidden/>
          </w:rPr>
          <w:fldChar w:fldCharType="begin"/>
        </w:r>
        <w:r>
          <w:rPr>
            <w:noProof/>
            <w:webHidden/>
          </w:rPr>
          <w:instrText xml:space="preserve"> PAGEREF _Toc65753101 \h </w:instrText>
        </w:r>
        <w:r>
          <w:rPr>
            <w:noProof/>
            <w:webHidden/>
          </w:rPr>
        </w:r>
        <w:r>
          <w:rPr>
            <w:noProof/>
            <w:webHidden/>
          </w:rPr>
          <w:fldChar w:fldCharType="separate"/>
        </w:r>
        <w:r w:rsidR="00846017">
          <w:rPr>
            <w:noProof/>
            <w:webHidden/>
          </w:rPr>
          <w:t>18</w:t>
        </w:r>
        <w:r>
          <w:rPr>
            <w:noProof/>
            <w:webHidden/>
          </w:rPr>
          <w:fldChar w:fldCharType="end"/>
        </w:r>
      </w:hyperlink>
    </w:p>
    <w:p w14:paraId="0DB65CF1" w14:textId="2FD19388" w:rsidR="00360BF6" w:rsidRDefault="002259E6">
      <w:pPr>
        <w:pStyle w:val="TOC2"/>
        <w:tabs>
          <w:tab w:val="right" w:leader="dot" w:pos="5030"/>
        </w:tabs>
        <w:rPr>
          <w:rFonts w:eastAsiaTheme="minorEastAsia"/>
          <w:b w:val="0"/>
          <w:smallCaps w:val="0"/>
          <w:noProof/>
          <w:sz w:val="22"/>
          <w:lang w:val="en-US" w:eastAsia="en-US" w:bidi="ar-SA"/>
        </w:rPr>
      </w:pPr>
      <w:hyperlink w:anchor="_Toc65753102" w:history="1">
        <w:r w:rsidR="00360BF6" w:rsidRPr="0050019E">
          <w:rPr>
            <w:rStyle w:val="Hyperlink"/>
            <w:noProof/>
          </w:rPr>
          <w:t>Inne usługi online</w:t>
        </w:r>
        <w:r w:rsidR="00360BF6">
          <w:rPr>
            <w:noProof/>
            <w:webHidden/>
          </w:rPr>
          <w:tab/>
        </w:r>
        <w:r w:rsidR="00360BF6">
          <w:rPr>
            <w:noProof/>
            <w:webHidden/>
          </w:rPr>
          <w:fldChar w:fldCharType="begin"/>
        </w:r>
        <w:r w:rsidR="00360BF6">
          <w:rPr>
            <w:noProof/>
            <w:webHidden/>
          </w:rPr>
          <w:instrText xml:space="preserve"> PAGEREF _Toc65753102 \h </w:instrText>
        </w:r>
        <w:r w:rsidR="00360BF6">
          <w:rPr>
            <w:noProof/>
            <w:webHidden/>
          </w:rPr>
        </w:r>
        <w:r w:rsidR="00360BF6">
          <w:rPr>
            <w:noProof/>
            <w:webHidden/>
          </w:rPr>
          <w:fldChar w:fldCharType="separate"/>
        </w:r>
        <w:r w:rsidR="00846017">
          <w:rPr>
            <w:noProof/>
            <w:webHidden/>
          </w:rPr>
          <w:t>18</w:t>
        </w:r>
        <w:r w:rsidR="00360BF6">
          <w:rPr>
            <w:noProof/>
            <w:webHidden/>
          </w:rPr>
          <w:fldChar w:fldCharType="end"/>
        </w:r>
      </w:hyperlink>
    </w:p>
    <w:p w14:paraId="28183A8E" w14:textId="7D4E0846" w:rsidR="00360BF6" w:rsidRDefault="002259E6">
      <w:pPr>
        <w:pStyle w:val="TOC4"/>
        <w:tabs>
          <w:tab w:val="right" w:leader="dot" w:pos="5030"/>
        </w:tabs>
        <w:rPr>
          <w:rFonts w:eastAsiaTheme="minorEastAsia"/>
          <w:smallCaps w:val="0"/>
          <w:noProof/>
          <w:sz w:val="22"/>
          <w:lang w:val="en-US" w:eastAsia="en-US" w:bidi="ar-SA"/>
        </w:rPr>
      </w:pPr>
      <w:hyperlink w:anchor="_Toc65753103" w:history="1">
        <w:r w:rsidR="00360BF6" w:rsidRPr="0050019E">
          <w:rPr>
            <w:rStyle w:val="Hyperlink"/>
            <w:noProof/>
          </w:rPr>
          <w:t>Bing Maps Enterprise Platform</w:t>
        </w:r>
        <w:r w:rsidR="00360BF6">
          <w:rPr>
            <w:noProof/>
            <w:webHidden/>
          </w:rPr>
          <w:tab/>
        </w:r>
        <w:r w:rsidR="00360BF6">
          <w:rPr>
            <w:noProof/>
            <w:webHidden/>
          </w:rPr>
          <w:fldChar w:fldCharType="begin"/>
        </w:r>
        <w:r w:rsidR="00360BF6">
          <w:rPr>
            <w:noProof/>
            <w:webHidden/>
          </w:rPr>
          <w:instrText xml:space="preserve"> PAGEREF _Toc65753103 \h </w:instrText>
        </w:r>
        <w:r w:rsidR="00360BF6">
          <w:rPr>
            <w:noProof/>
            <w:webHidden/>
          </w:rPr>
        </w:r>
        <w:r w:rsidR="00360BF6">
          <w:rPr>
            <w:noProof/>
            <w:webHidden/>
          </w:rPr>
          <w:fldChar w:fldCharType="separate"/>
        </w:r>
        <w:r w:rsidR="00846017">
          <w:rPr>
            <w:noProof/>
            <w:webHidden/>
          </w:rPr>
          <w:t>18</w:t>
        </w:r>
        <w:r w:rsidR="00360BF6">
          <w:rPr>
            <w:noProof/>
            <w:webHidden/>
          </w:rPr>
          <w:fldChar w:fldCharType="end"/>
        </w:r>
      </w:hyperlink>
    </w:p>
    <w:p w14:paraId="448B2B7C" w14:textId="638ABEB5" w:rsidR="00360BF6" w:rsidRDefault="002259E6">
      <w:pPr>
        <w:pStyle w:val="TOC4"/>
        <w:tabs>
          <w:tab w:val="right" w:leader="dot" w:pos="5030"/>
        </w:tabs>
        <w:rPr>
          <w:rFonts w:eastAsiaTheme="minorEastAsia"/>
          <w:smallCaps w:val="0"/>
          <w:noProof/>
          <w:sz w:val="22"/>
          <w:lang w:val="en-US" w:eastAsia="en-US" w:bidi="ar-SA"/>
        </w:rPr>
      </w:pPr>
      <w:hyperlink w:anchor="_Toc65753104" w:history="1">
        <w:r w:rsidR="00360BF6" w:rsidRPr="0050019E">
          <w:rPr>
            <w:rStyle w:val="Hyperlink"/>
            <w:noProof/>
          </w:rPr>
          <w:t>Usługa Bing Maps Mobile Asset Management</w:t>
        </w:r>
        <w:r w:rsidR="00360BF6">
          <w:rPr>
            <w:noProof/>
            <w:webHidden/>
          </w:rPr>
          <w:tab/>
        </w:r>
        <w:r w:rsidR="00360BF6">
          <w:rPr>
            <w:noProof/>
            <w:webHidden/>
          </w:rPr>
          <w:fldChar w:fldCharType="begin"/>
        </w:r>
        <w:r w:rsidR="00360BF6">
          <w:rPr>
            <w:noProof/>
            <w:webHidden/>
          </w:rPr>
          <w:instrText xml:space="preserve"> PAGEREF _Toc65753104 \h </w:instrText>
        </w:r>
        <w:r w:rsidR="00360BF6">
          <w:rPr>
            <w:noProof/>
            <w:webHidden/>
          </w:rPr>
        </w:r>
        <w:r w:rsidR="00360BF6">
          <w:rPr>
            <w:noProof/>
            <w:webHidden/>
          </w:rPr>
          <w:fldChar w:fldCharType="separate"/>
        </w:r>
        <w:r w:rsidR="00846017">
          <w:rPr>
            <w:noProof/>
            <w:webHidden/>
          </w:rPr>
          <w:t>19</w:t>
        </w:r>
        <w:r w:rsidR="00360BF6">
          <w:rPr>
            <w:noProof/>
            <w:webHidden/>
          </w:rPr>
          <w:fldChar w:fldCharType="end"/>
        </w:r>
      </w:hyperlink>
    </w:p>
    <w:p w14:paraId="2A0FFBFB" w14:textId="459B1862" w:rsidR="00360BF6" w:rsidRDefault="002259E6">
      <w:pPr>
        <w:pStyle w:val="TOC4"/>
        <w:tabs>
          <w:tab w:val="right" w:leader="dot" w:pos="5030"/>
        </w:tabs>
        <w:rPr>
          <w:rFonts w:eastAsiaTheme="minorEastAsia"/>
          <w:smallCaps w:val="0"/>
          <w:noProof/>
          <w:sz w:val="22"/>
          <w:lang w:val="en-US" w:eastAsia="en-US" w:bidi="ar-SA"/>
        </w:rPr>
      </w:pPr>
      <w:hyperlink w:anchor="_Toc65753105" w:history="1">
        <w:r w:rsidR="00360BF6" w:rsidRPr="0050019E">
          <w:rPr>
            <w:rStyle w:val="Hyperlink"/>
            <w:noProof/>
          </w:rPr>
          <w:t>Microsoft Cloud App Security</w:t>
        </w:r>
        <w:r w:rsidR="00360BF6">
          <w:rPr>
            <w:noProof/>
            <w:webHidden/>
          </w:rPr>
          <w:tab/>
        </w:r>
        <w:r w:rsidR="00360BF6">
          <w:rPr>
            <w:noProof/>
            <w:webHidden/>
          </w:rPr>
          <w:fldChar w:fldCharType="begin"/>
        </w:r>
        <w:r w:rsidR="00360BF6">
          <w:rPr>
            <w:noProof/>
            <w:webHidden/>
          </w:rPr>
          <w:instrText xml:space="preserve"> PAGEREF _Toc65753105 \h </w:instrText>
        </w:r>
        <w:r w:rsidR="00360BF6">
          <w:rPr>
            <w:noProof/>
            <w:webHidden/>
          </w:rPr>
        </w:r>
        <w:r w:rsidR="00360BF6">
          <w:rPr>
            <w:noProof/>
            <w:webHidden/>
          </w:rPr>
          <w:fldChar w:fldCharType="separate"/>
        </w:r>
        <w:r w:rsidR="00846017">
          <w:rPr>
            <w:noProof/>
            <w:webHidden/>
          </w:rPr>
          <w:t>19</w:t>
        </w:r>
        <w:r w:rsidR="00360BF6">
          <w:rPr>
            <w:noProof/>
            <w:webHidden/>
          </w:rPr>
          <w:fldChar w:fldCharType="end"/>
        </w:r>
      </w:hyperlink>
    </w:p>
    <w:p w14:paraId="42428E0C" w14:textId="038BE858" w:rsidR="00360BF6" w:rsidRDefault="002259E6">
      <w:pPr>
        <w:pStyle w:val="TOC4"/>
        <w:tabs>
          <w:tab w:val="right" w:leader="dot" w:pos="5030"/>
        </w:tabs>
        <w:rPr>
          <w:rFonts w:eastAsiaTheme="minorEastAsia"/>
          <w:smallCaps w:val="0"/>
          <w:noProof/>
          <w:sz w:val="22"/>
          <w:lang w:val="en-US" w:eastAsia="en-US" w:bidi="ar-SA"/>
        </w:rPr>
      </w:pPr>
      <w:hyperlink w:anchor="_Toc65753106" w:history="1">
        <w:r w:rsidR="00360BF6" w:rsidRPr="0050019E">
          <w:rPr>
            <w:rStyle w:val="Hyperlink"/>
            <w:noProof/>
          </w:rPr>
          <w:t>Microsoft Power Automate</w:t>
        </w:r>
        <w:r w:rsidR="00360BF6">
          <w:rPr>
            <w:noProof/>
            <w:webHidden/>
          </w:rPr>
          <w:tab/>
        </w:r>
        <w:r w:rsidR="00360BF6">
          <w:rPr>
            <w:noProof/>
            <w:webHidden/>
          </w:rPr>
          <w:fldChar w:fldCharType="begin"/>
        </w:r>
        <w:r w:rsidR="00360BF6">
          <w:rPr>
            <w:noProof/>
            <w:webHidden/>
          </w:rPr>
          <w:instrText xml:space="preserve"> PAGEREF _Toc65753106 \h </w:instrText>
        </w:r>
        <w:r w:rsidR="00360BF6">
          <w:rPr>
            <w:noProof/>
            <w:webHidden/>
          </w:rPr>
        </w:r>
        <w:r w:rsidR="00360BF6">
          <w:rPr>
            <w:noProof/>
            <w:webHidden/>
          </w:rPr>
          <w:fldChar w:fldCharType="separate"/>
        </w:r>
        <w:r w:rsidR="00846017">
          <w:rPr>
            <w:noProof/>
            <w:webHidden/>
          </w:rPr>
          <w:t>20</w:t>
        </w:r>
        <w:r w:rsidR="00360BF6">
          <w:rPr>
            <w:noProof/>
            <w:webHidden/>
          </w:rPr>
          <w:fldChar w:fldCharType="end"/>
        </w:r>
      </w:hyperlink>
    </w:p>
    <w:p w14:paraId="0E502F3D" w14:textId="6682E601" w:rsidR="00360BF6" w:rsidRDefault="002259E6">
      <w:pPr>
        <w:pStyle w:val="TOC4"/>
        <w:tabs>
          <w:tab w:val="right" w:leader="dot" w:pos="5030"/>
        </w:tabs>
        <w:rPr>
          <w:rFonts w:eastAsiaTheme="minorEastAsia"/>
          <w:smallCaps w:val="0"/>
          <w:noProof/>
          <w:sz w:val="22"/>
          <w:lang w:val="en-US" w:eastAsia="en-US" w:bidi="ar-SA"/>
        </w:rPr>
      </w:pPr>
      <w:hyperlink w:anchor="_Toc65753107" w:history="1">
        <w:r w:rsidR="00360BF6" w:rsidRPr="0050019E">
          <w:rPr>
            <w:rStyle w:val="Hyperlink"/>
            <w:noProof/>
          </w:rPr>
          <w:t>Microsoft Intune</w:t>
        </w:r>
        <w:r w:rsidR="00360BF6">
          <w:rPr>
            <w:noProof/>
            <w:webHidden/>
          </w:rPr>
          <w:tab/>
        </w:r>
        <w:r w:rsidR="00360BF6">
          <w:rPr>
            <w:noProof/>
            <w:webHidden/>
          </w:rPr>
          <w:fldChar w:fldCharType="begin"/>
        </w:r>
        <w:r w:rsidR="00360BF6">
          <w:rPr>
            <w:noProof/>
            <w:webHidden/>
          </w:rPr>
          <w:instrText xml:space="preserve"> PAGEREF _Toc65753107 \h </w:instrText>
        </w:r>
        <w:r w:rsidR="00360BF6">
          <w:rPr>
            <w:noProof/>
            <w:webHidden/>
          </w:rPr>
        </w:r>
        <w:r w:rsidR="00360BF6">
          <w:rPr>
            <w:noProof/>
            <w:webHidden/>
          </w:rPr>
          <w:fldChar w:fldCharType="separate"/>
        </w:r>
        <w:r w:rsidR="00846017">
          <w:rPr>
            <w:noProof/>
            <w:webHidden/>
          </w:rPr>
          <w:t>20</w:t>
        </w:r>
        <w:r w:rsidR="00360BF6">
          <w:rPr>
            <w:noProof/>
            <w:webHidden/>
          </w:rPr>
          <w:fldChar w:fldCharType="end"/>
        </w:r>
      </w:hyperlink>
    </w:p>
    <w:p w14:paraId="3530F893" w14:textId="32B109AE" w:rsidR="00360BF6" w:rsidRDefault="002259E6">
      <w:pPr>
        <w:pStyle w:val="TOC4"/>
        <w:tabs>
          <w:tab w:val="right" w:leader="dot" w:pos="5030"/>
        </w:tabs>
        <w:rPr>
          <w:rFonts w:eastAsiaTheme="minorEastAsia"/>
          <w:smallCaps w:val="0"/>
          <w:noProof/>
          <w:sz w:val="22"/>
          <w:lang w:val="en-US" w:eastAsia="en-US" w:bidi="ar-SA"/>
        </w:rPr>
      </w:pPr>
      <w:hyperlink w:anchor="_Toc65753108" w:history="1">
        <w:r w:rsidR="00360BF6" w:rsidRPr="0050019E">
          <w:rPr>
            <w:rStyle w:val="Hyperlink"/>
            <w:noProof/>
          </w:rPr>
          <w:t>Microsoft Kaizala Pro</w:t>
        </w:r>
        <w:r w:rsidR="00360BF6">
          <w:rPr>
            <w:noProof/>
            <w:webHidden/>
          </w:rPr>
          <w:tab/>
        </w:r>
        <w:r w:rsidR="00360BF6">
          <w:rPr>
            <w:noProof/>
            <w:webHidden/>
          </w:rPr>
          <w:fldChar w:fldCharType="begin"/>
        </w:r>
        <w:r w:rsidR="00360BF6">
          <w:rPr>
            <w:noProof/>
            <w:webHidden/>
          </w:rPr>
          <w:instrText xml:space="preserve"> PAGEREF _Toc65753108 \h </w:instrText>
        </w:r>
        <w:r w:rsidR="00360BF6">
          <w:rPr>
            <w:noProof/>
            <w:webHidden/>
          </w:rPr>
        </w:r>
        <w:r w:rsidR="00360BF6">
          <w:rPr>
            <w:noProof/>
            <w:webHidden/>
          </w:rPr>
          <w:fldChar w:fldCharType="separate"/>
        </w:r>
        <w:r w:rsidR="00846017">
          <w:rPr>
            <w:noProof/>
            <w:webHidden/>
          </w:rPr>
          <w:t>20</w:t>
        </w:r>
        <w:r w:rsidR="00360BF6">
          <w:rPr>
            <w:noProof/>
            <w:webHidden/>
          </w:rPr>
          <w:fldChar w:fldCharType="end"/>
        </w:r>
      </w:hyperlink>
    </w:p>
    <w:p w14:paraId="32BCE8D5" w14:textId="769DFEE0" w:rsidR="00360BF6" w:rsidRDefault="002259E6">
      <w:pPr>
        <w:pStyle w:val="TOC4"/>
        <w:tabs>
          <w:tab w:val="right" w:leader="dot" w:pos="5030"/>
        </w:tabs>
        <w:rPr>
          <w:rFonts w:eastAsiaTheme="minorEastAsia"/>
          <w:smallCaps w:val="0"/>
          <w:noProof/>
          <w:sz w:val="22"/>
          <w:lang w:val="en-US" w:eastAsia="en-US" w:bidi="ar-SA"/>
        </w:rPr>
      </w:pPr>
      <w:hyperlink w:anchor="_Toc65753109" w:history="1">
        <w:r w:rsidR="00360BF6" w:rsidRPr="0050019E">
          <w:rPr>
            <w:rStyle w:val="Hyperlink"/>
            <w:noProof/>
          </w:rPr>
          <w:t>Microsoft Power Apps</w:t>
        </w:r>
        <w:r w:rsidR="00360BF6">
          <w:rPr>
            <w:noProof/>
            <w:webHidden/>
          </w:rPr>
          <w:tab/>
        </w:r>
        <w:r w:rsidR="00360BF6">
          <w:rPr>
            <w:noProof/>
            <w:webHidden/>
          </w:rPr>
          <w:fldChar w:fldCharType="begin"/>
        </w:r>
        <w:r w:rsidR="00360BF6">
          <w:rPr>
            <w:noProof/>
            <w:webHidden/>
          </w:rPr>
          <w:instrText xml:space="preserve"> PAGEREF _Toc65753109 \h </w:instrText>
        </w:r>
        <w:r w:rsidR="00360BF6">
          <w:rPr>
            <w:noProof/>
            <w:webHidden/>
          </w:rPr>
        </w:r>
        <w:r w:rsidR="00360BF6">
          <w:rPr>
            <w:noProof/>
            <w:webHidden/>
          </w:rPr>
          <w:fldChar w:fldCharType="separate"/>
        </w:r>
        <w:r w:rsidR="00846017">
          <w:rPr>
            <w:noProof/>
            <w:webHidden/>
          </w:rPr>
          <w:t>21</w:t>
        </w:r>
        <w:r w:rsidR="00360BF6">
          <w:rPr>
            <w:noProof/>
            <w:webHidden/>
          </w:rPr>
          <w:fldChar w:fldCharType="end"/>
        </w:r>
      </w:hyperlink>
    </w:p>
    <w:p w14:paraId="143D0D85" w14:textId="165296E2" w:rsidR="00360BF6" w:rsidRDefault="002259E6">
      <w:pPr>
        <w:pStyle w:val="TOC4"/>
        <w:tabs>
          <w:tab w:val="right" w:leader="dot" w:pos="5030"/>
        </w:tabs>
        <w:rPr>
          <w:rFonts w:eastAsiaTheme="minorEastAsia"/>
          <w:smallCaps w:val="0"/>
          <w:noProof/>
          <w:sz w:val="22"/>
          <w:lang w:val="en-US" w:eastAsia="en-US" w:bidi="ar-SA"/>
        </w:rPr>
      </w:pPr>
      <w:hyperlink w:anchor="_Toc65753110" w:history="1">
        <w:r w:rsidR="00360BF6" w:rsidRPr="0050019E">
          <w:rPr>
            <w:rStyle w:val="Hyperlink"/>
            <w:noProof/>
          </w:rPr>
          <w:t>Minecraft: Education Edition</w:t>
        </w:r>
        <w:r w:rsidR="00360BF6">
          <w:rPr>
            <w:noProof/>
            <w:webHidden/>
          </w:rPr>
          <w:tab/>
        </w:r>
        <w:r w:rsidR="00360BF6">
          <w:rPr>
            <w:noProof/>
            <w:webHidden/>
          </w:rPr>
          <w:fldChar w:fldCharType="begin"/>
        </w:r>
        <w:r w:rsidR="00360BF6">
          <w:rPr>
            <w:noProof/>
            <w:webHidden/>
          </w:rPr>
          <w:instrText xml:space="preserve"> PAGEREF _Toc65753110 \h </w:instrText>
        </w:r>
        <w:r w:rsidR="00360BF6">
          <w:rPr>
            <w:noProof/>
            <w:webHidden/>
          </w:rPr>
        </w:r>
        <w:r w:rsidR="00360BF6">
          <w:rPr>
            <w:noProof/>
            <w:webHidden/>
          </w:rPr>
          <w:fldChar w:fldCharType="separate"/>
        </w:r>
        <w:r w:rsidR="00846017">
          <w:rPr>
            <w:noProof/>
            <w:webHidden/>
          </w:rPr>
          <w:t>21</w:t>
        </w:r>
        <w:r w:rsidR="00360BF6">
          <w:rPr>
            <w:noProof/>
            <w:webHidden/>
          </w:rPr>
          <w:fldChar w:fldCharType="end"/>
        </w:r>
      </w:hyperlink>
    </w:p>
    <w:p w14:paraId="053C6E81" w14:textId="6975EDBE" w:rsidR="00360BF6" w:rsidRDefault="002259E6">
      <w:pPr>
        <w:pStyle w:val="TOC4"/>
        <w:tabs>
          <w:tab w:val="right" w:leader="dot" w:pos="5030"/>
        </w:tabs>
        <w:rPr>
          <w:rFonts w:eastAsiaTheme="minorEastAsia"/>
          <w:smallCaps w:val="0"/>
          <w:noProof/>
          <w:sz w:val="22"/>
          <w:lang w:val="en-US" w:eastAsia="en-US" w:bidi="ar-SA"/>
        </w:rPr>
      </w:pPr>
      <w:hyperlink w:anchor="_Toc65753111" w:history="1">
        <w:r w:rsidR="00360BF6" w:rsidRPr="0050019E">
          <w:rPr>
            <w:rStyle w:val="Hyperlink"/>
            <w:noProof/>
          </w:rPr>
          <w:t>Z usługą Power BI</w:t>
        </w:r>
        <w:r w:rsidR="00360BF6">
          <w:rPr>
            <w:noProof/>
            <w:webHidden/>
          </w:rPr>
          <w:tab/>
        </w:r>
        <w:r w:rsidR="00360BF6">
          <w:rPr>
            <w:noProof/>
            <w:webHidden/>
          </w:rPr>
          <w:fldChar w:fldCharType="begin"/>
        </w:r>
        <w:r w:rsidR="00360BF6">
          <w:rPr>
            <w:noProof/>
            <w:webHidden/>
          </w:rPr>
          <w:instrText xml:space="preserve"> PAGEREF _Toc65753111 \h </w:instrText>
        </w:r>
        <w:r w:rsidR="00360BF6">
          <w:rPr>
            <w:noProof/>
            <w:webHidden/>
          </w:rPr>
        </w:r>
        <w:r w:rsidR="00360BF6">
          <w:rPr>
            <w:noProof/>
            <w:webHidden/>
          </w:rPr>
          <w:fldChar w:fldCharType="separate"/>
        </w:r>
        <w:r w:rsidR="00846017">
          <w:rPr>
            <w:noProof/>
            <w:webHidden/>
          </w:rPr>
          <w:t>22</w:t>
        </w:r>
        <w:r w:rsidR="00360BF6">
          <w:rPr>
            <w:noProof/>
            <w:webHidden/>
          </w:rPr>
          <w:fldChar w:fldCharType="end"/>
        </w:r>
      </w:hyperlink>
    </w:p>
    <w:p w14:paraId="7A67ED67" w14:textId="445821B8" w:rsidR="00360BF6" w:rsidRDefault="002259E6">
      <w:pPr>
        <w:pStyle w:val="TOC4"/>
        <w:tabs>
          <w:tab w:val="right" w:leader="dot" w:pos="5030"/>
        </w:tabs>
        <w:rPr>
          <w:rFonts w:eastAsiaTheme="minorEastAsia"/>
          <w:smallCaps w:val="0"/>
          <w:noProof/>
          <w:sz w:val="22"/>
          <w:lang w:val="en-US" w:eastAsia="en-US" w:bidi="ar-SA"/>
        </w:rPr>
      </w:pPr>
      <w:hyperlink w:anchor="_Toc65753112" w:history="1">
        <w:r w:rsidR="00360BF6" w:rsidRPr="0050019E">
          <w:rPr>
            <w:rStyle w:val="Hyperlink"/>
            <w:noProof/>
          </w:rPr>
          <w:t>Power BI Premium</w:t>
        </w:r>
        <w:r w:rsidR="00360BF6">
          <w:rPr>
            <w:noProof/>
            <w:webHidden/>
          </w:rPr>
          <w:tab/>
        </w:r>
        <w:r w:rsidR="00360BF6">
          <w:rPr>
            <w:noProof/>
            <w:webHidden/>
          </w:rPr>
          <w:fldChar w:fldCharType="begin"/>
        </w:r>
        <w:r w:rsidR="00360BF6">
          <w:rPr>
            <w:noProof/>
            <w:webHidden/>
          </w:rPr>
          <w:instrText xml:space="preserve"> PAGEREF _Toc65753112 \h </w:instrText>
        </w:r>
        <w:r w:rsidR="00360BF6">
          <w:rPr>
            <w:noProof/>
            <w:webHidden/>
          </w:rPr>
        </w:r>
        <w:r w:rsidR="00360BF6">
          <w:rPr>
            <w:noProof/>
            <w:webHidden/>
          </w:rPr>
          <w:fldChar w:fldCharType="separate"/>
        </w:r>
        <w:r w:rsidR="00846017">
          <w:rPr>
            <w:noProof/>
            <w:webHidden/>
          </w:rPr>
          <w:t>22</w:t>
        </w:r>
        <w:r w:rsidR="00360BF6">
          <w:rPr>
            <w:noProof/>
            <w:webHidden/>
          </w:rPr>
          <w:fldChar w:fldCharType="end"/>
        </w:r>
      </w:hyperlink>
    </w:p>
    <w:p w14:paraId="000B7E82" w14:textId="203E9D3A" w:rsidR="00360BF6" w:rsidRDefault="002259E6">
      <w:pPr>
        <w:pStyle w:val="TOC4"/>
        <w:tabs>
          <w:tab w:val="right" w:leader="dot" w:pos="5030"/>
        </w:tabs>
        <w:rPr>
          <w:rFonts w:eastAsiaTheme="minorEastAsia"/>
          <w:smallCaps w:val="0"/>
          <w:noProof/>
          <w:sz w:val="22"/>
          <w:lang w:val="en-US" w:eastAsia="en-US" w:bidi="ar-SA"/>
        </w:rPr>
      </w:pPr>
      <w:hyperlink w:anchor="_Toc65753113" w:history="1">
        <w:r w:rsidR="00360BF6" w:rsidRPr="0050019E">
          <w:rPr>
            <w:rStyle w:val="Hyperlink"/>
            <w:noProof/>
          </w:rPr>
          <w:t>Power BI Pro</w:t>
        </w:r>
        <w:r w:rsidR="00360BF6">
          <w:rPr>
            <w:noProof/>
            <w:webHidden/>
          </w:rPr>
          <w:tab/>
        </w:r>
        <w:r w:rsidR="00360BF6">
          <w:rPr>
            <w:noProof/>
            <w:webHidden/>
          </w:rPr>
          <w:fldChar w:fldCharType="begin"/>
        </w:r>
        <w:r w:rsidR="00360BF6">
          <w:rPr>
            <w:noProof/>
            <w:webHidden/>
          </w:rPr>
          <w:instrText xml:space="preserve"> PAGEREF _Toc65753113 \h </w:instrText>
        </w:r>
        <w:r w:rsidR="00360BF6">
          <w:rPr>
            <w:noProof/>
            <w:webHidden/>
          </w:rPr>
        </w:r>
        <w:r w:rsidR="00360BF6">
          <w:rPr>
            <w:noProof/>
            <w:webHidden/>
          </w:rPr>
          <w:fldChar w:fldCharType="separate"/>
        </w:r>
        <w:r w:rsidR="00846017">
          <w:rPr>
            <w:noProof/>
            <w:webHidden/>
          </w:rPr>
          <w:t>23</w:t>
        </w:r>
        <w:r w:rsidR="00360BF6">
          <w:rPr>
            <w:noProof/>
            <w:webHidden/>
          </w:rPr>
          <w:fldChar w:fldCharType="end"/>
        </w:r>
      </w:hyperlink>
    </w:p>
    <w:p w14:paraId="5400FEE4" w14:textId="160BCD85" w:rsidR="00360BF6" w:rsidRDefault="002259E6">
      <w:pPr>
        <w:pStyle w:val="TOC4"/>
        <w:tabs>
          <w:tab w:val="right" w:leader="dot" w:pos="5030"/>
        </w:tabs>
        <w:rPr>
          <w:rFonts w:eastAsiaTheme="minorEastAsia"/>
          <w:smallCaps w:val="0"/>
          <w:noProof/>
          <w:sz w:val="22"/>
          <w:lang w:val="en-US" w:eastAsia="en-US" w:bidi="ar-SA"/>
        </w:rPr>
      </w:pPr>
      <w:hyperlink w:anchor="_Toc65753114" w:history="1">
        <w:r w:rsidR="00360BF6" w:rsidRPr="0050019E">
          <w:rPr>
            <w:rStyle w:val="Hyperlink"/>
            <w:noProof/>
          </w:rPr>
          <w:t>Interfejs programowania aplikacji Translator</w:t>
        </w:r>
        <w:r w:rsidR="00360BF6">
          <w:rPr>
            <w:noProof/>
            <w:webHidden/>
          </w:rPr>
          <w:tab/>
        </w:r>
        <w:r w:rsidR="00360BF6">
          <w:rPr>
            <w:noProof/>
            <w:webHidden/>
          </w:rPr>
          <w:fldChar w:fldCharType="begin"/>
        </w:r>
        <w:r w:rsidR="00360BF6">
          <w:rPr>
            <w:noProof/>
            <w:webHidden/>
          </w:rPr>
          <w:instrText xml:space="preserve"> PAGEREF _Toc65753114 \h </w:instrText>
        </w:r>
        <w:r w:rsidR="00360BF6">
          <w:rPr>
            <w:noProof/>
            <w:webHidden/>
          </w:rPr>
        </w:r>
        <w:r w:rsidR="00360BF6">
          <w:rPr>
            <w:noProof/>
            <w:webHidden/>
          </w:rPr>
          <w:fldChar w:fldCharType="separate"/>
        </w:r>
        <w:r w:rsidR="00846017">
          <w:rPr>
            <w:noProof/>
            <w:webHidden/>
          </w:rPr>
          <w:t>23</w:t>
        </w:r>
        <w:r w:rsidR="00360BF6">
          <w:rPr>
            <w:noProof/>
            <w:webHidden/>
          </w:rPr>
          <w:fldChar w:fldCharType="end"/>
        </w:r>
      </w:hyperlink>
    </w:p>
    <w:p w14:paraId="453F5D7A" w14:textId="3562C0D2" w:rsidR="00360BF6" w:rsidRDefault="002259E6">
      <w:pPr>
        <w:pStyle w:val="TOC4"/>
        <w:tabs>
          <w:tab w:val="right" w:leader="dot" w:pos="5030"/>
        </w:tabs>
        <w:rPr>
          <w:rFonts w:eastAsiaTheme="minorEastAsia"/>
          <w:smallCaps w:val="0"/>
          <w:noProof/>
          <w:sz w:val="22"/>
          <w:lang w:val="en-US" w:eastAsia="en-US" w:bidi="ar-SA"/>
        </w:rPr>
      </w:pPr>
      <w:hyperlink w:anchor="_Toc65753115" w:history="1">
        <w:r w:rsidR="00360BF6" w:rsidRPr="0050019E">
          <w:rPr>
            <w:rStyle w:val="Hyperlink"/>
            <w:noProof/>
          </w:rPr>
          <w:t>Ochrona punktu końcowego w usłudze Microsoft Defender</w:t>
        </w:r>
        <w:r w:rsidR="00360BF6">
          <w:rPr>
            <w:noProof/>
            <w:webHidden/>
          </w:rPr>
          <w:tab/>
        </w:r>
        <w:r w:rsidR="00360BF6">
          <w:rPr>
            <w:noProof/>
            <w:webHidden/>
          </w:rPr>
          <w:fldChar w:fldCharType="begin"/>
        </w:r>
        <w:r w:rsidR="00360BF6">
          <w:rPr>
            <w:noProof/>
            <w:webHidden/>
          </w:rPr>
          <w:instrText xml:space="preserve"> PAGEREF _Toc65753115 \h </w:instrText>
        </w:r>
        <w:r w:rsidR="00360BF6">
          <w:rPr>
            <w:noProof/>
            <w:webHidden/>
          </w:rPr>
        </w:r>
        <w:r w:rsidR="00360BF6">
          <w:rPr>
            <w:noProof/>
            <w:webHidden/>
          </w:rPr>
          <w:fldChar w:fldCharType="separate"/>
        </w:r>
        <w:r w:rsidR="00846017">
          <w:rPr>
            <w:noProof/>
            <w:webHidden/>
          </w:rPr>
          <w:t>24</w:t>
        </w:r>
        <w:r w:rsidR="00360BF6">
          <w:rPr>
            <w:noProof/>
            <w:webHidden/>
          </w:rPr>
          <w:fldChar w:fldCharType="end"/>
        </w:r>
      </w:hyperlink>
    </w:p>
    <w:p w14:paraId="2AF1E0F8" w14:textId="48E82A78" w:rsidR="00360BF6" w:rsidRDefault="002259E6">
      <w:pPr>
        <w:pStyle w:val="TOC4"/>
        <w:tabs>
          <w:tab w:val="right" w:leader="dot" w:pos="5030"/>
        </w:tabs>
        <w:rPr>
          <w:rFonts w:eastAsiaTheme="minorEastAsia"/>
          <w:smallCaps w:val="0"/>
          <w:noProof/>
          <w:sz w:val="22"/>
          <w:lang w:val="en-US" w:eastAsia="en-US" w:bidi="ar-SA"/>
        </w:rPr>
      </w:pPr>
      <w:hyperlink w:anchor="_Toc65753116" w:history="1">
        <w:r w:rsidR="00360BF6" w:rsidRPr="0050019E">
          <w:rPr>
            <w:rStyle w:val="Hyperlink"/>
            <w:noProof/>
          </w:rPr>
          <w:t>Drukowanie uniwersalne</w:t>
        </w:r>
        <w:r w:rsidR="00360BF6">
          <w:rPr>
            <w:noProof/>
            <w:webHidden/>
          </w:rPr>
          <w:tab/>
        </w:r>
        <w:r w:rsidR="00360BF6">
          <w:rPr>
            <w:noProof/>
            <w:webHidden/>
          </w:rPr>
          <w:fldChar w:fldCharType="begin"/>
        </w:r>
        <w:r w:rsidR="00360BF6">
          <w:rPr>
            <w:noProof/>
            <w:webHidden/>
          </w:rPr>
          <w:instrText xml:space="preserve"> PAGEREF _Toc65753116 \h </w:instrText>
        </w:r>
        <w:r w:rsidR="00360BF6">
          <w:rPr>
            <w:noProof/>
            <w:webHidden/>
          </w:rPr>
        </w:r>
        <w:r w:rsidR="00360BF6">
          <w:rPr>
            <w:noProof/>
            <w:webHidden/>
          </w:rPr>
          <w:fldChar w:fldCharType="separate"/>
        </w:r>
        <w:r w:rsidR="00846017">
          <w:rPr>
            <w:noProof/>
            <w:webHidden/>
          </w:rPr>
          <w:t>24</w:t>
        </w:r>
        <w:r w:rsidR="00360BF6">
          <w:rPr>
            <w:noProof/>
            <w:webHidden/>
          </w:rPr>
          <w:fldChar w:fldCharType="end"/>
        </w:r>
      </w:hyperlink>
    </w:p>
    <w:p w14:paraId="1C506728" w14:textId="2970A869" w:rsidR="00360BF6" w:rsidRDefault="002259E6">
      <w:pPr>
        <w:pStyle w:val="TOC1"/>
        <w:tabs>
          <w:tab w:val="right" w:leader="dot" w:pos="5030"/>
        </w:tabs>
        <w:rPr>
          <w:rFonts w:eastAsiaTheme="minorEastAsia"/>
          <w:b w:val="0"/>
          <w:caps w:val="0"/>
          <w:noProof/>
          <w:sz w:val="22"/>
          <w:lang w:val="en-US" w:eastAsia="en-US" w:bidi="ar-SA"/>
        </w:rPr>
      </w:pPr>
      <w:hyperlink w:anchor="_Toc65753117" w:history="1">
        <w:r w:rsidR="00360BF6" w:rsidRPr="0050019E">
          <w:rPr>
            <w:rStyle w:val="Hyperlink"/>
            <w:noProof/>
          </w:rPr>
          <w:t>Załącznik A – Zadeklarowanie Poziomu Usługi w Zakresie Wykrywania i Blokowania Wirusów, Efektywności Filtrów Antyspamowych i Fałszywych Trafień Pozytywnych</w:t>
        </w:r>
        <w:r w:rsidR="00360BF6">
          <w:rPr>
            <w:noProof/>
            <w:webHidden/>
          </w:rPr>
          <w:tab/>
        </w:r>
        <w:r w:rsidR="00360BF6">
          <w:rPr>
            <w:noProof/>
            <w:webHidden/>
          </w:rPr>
          <w:fldChar w:fldCharType="begin"/>
        </w:r>
        <w:r w:rsidR="00360BF6">
          <w:rPr>
            <w:noProof/>
            <w:webHidden/>
          </w:rPr>
          <w:instrText xml:space="preserve"> PAGEREF _Toc65753117 \h </w:instrText>
        </w:r>
        <w:r w:rsidR="00360BF6">
          <w:rPr>
            <w:noProof/>
            <w:webHidden/>
          </w:rPr>
        </w:r>
        <w:r w:rsidR="00360BF6">
          <w:rPr>
            <w:noProof/>
            <w:webHidden/>
          </w:rPr>
          <w:fldChar w:fldCharType="separate"/>
        </w:r>
        <w:r w:rsidR="00846017">
          <w:rPr>
            <w:noProof/>
            <w:webHidden/>
          </w:rPr>
          <w:t>26</w:t>
        </w:r>
        <w:r w:rsidR="00360BF6">
          <w:rPr>
            <w:noProof/>
            <w:webHidden/>
          </w:rPr>
          <w:fldChar w:fldCharType="end"/>
        </w:r>
      </w:hyperlink>
    </w:p>
    <w:p w14:paraId="539233EF" w14:textId="63415AED" w:rsidR="00360BF6" w:rsidRDefault="002259E6">
      <w:pPr>
        <w:pStyle w:val="TOC1"/>
        <w:tabs>
          <w:tab w:val="right" w:leader="dot" w:pos="5030"/>
        </w:tabs>
        <w:rPr>
          <w:rFonts w:eastAsiaTheme="minorEastAsia"/>
          <w:b w:val="0"/>
          <w:caps w:val="0"/>
          <w:noProof/>
          <w:sz w:val="22"/>
          <w:lang w:val="en-US" w:eastAsia="en-US" w:bidi="ar-SA"/>
        </w:rPr>
      </w:pPr>
      <w:hyperlink w:anchor="_Toc65753118" w:history="1">
        <w:r w:rsidR="00360BF6" w:rsidRPr="0050019E">
          <w:rPr>
            <w:rStyle w:val="Hyperlink"/>
            <w:noProof/>
          </w:rPr>
          <w:t>Załącznik B – Zadeklarowanie Poziomu Usługi w Zakresie Czasu Nieprzerwanej Pracy i Dostarczania Poczty Elektronicznej</w:t>
        </w:r>
        <w:r w:rsidR="00360BF6">
          <w:rPr>
            <w:noProof/>
            <w:webHidden/>
          </w:rPr>
          <w:tab/>
        </w:r>
        <w:r w:rsidR="00360BF6">
          <w:rPr>
            <w:noProof/>
            <w:webHidden/>
          </w:rPr>
          <w:fldChar w:fldCharType="begin"/>
        </w:r>
        <w:r w:rsidR="00360BF6">
          <w:rPr>
            <w:noProof/>
            <w:webHidden/>
          </w:rPr>
          <w:instrText xml:space="preserve"> PAGEREF _Toc65753118 \h </w:instrText>
        </w:r>
        <w:r w:rsidR="00360BF6">
          <w:rPr>
            <w:noProof/>
            <w:webHidden/>
          </w:rPr>
        </w:r>
        <w:r w:rsidR="00360BF6">
          <w:rPr>
            <w:noProof/>
            <w:webHidden/>
          </w:rPr>
          <w:fldChar w:fldCharType="separate"/>
        </w:r>
        <w:r w:rsidR="00846017">
          <w:rPr>
            <w:noProof/>
            <w:webHidden/>
          </w:rPr>
          <w:t>28</w:t>
        </w:r>
        <w:r w:rsidR="00360BF6">
          <w:rPr>
            <w:noProof/>
            <w:webHidden/>
          </w:rPr>
          <w:fldChar w:fldCharType="end"/>
        </w:r>
      </w:hyperlink>
    </w:p>
    <w:p w14:paraId="255FE481" w14:textId="2ADF3FD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65753067"/>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1671BA" w:rsidRPr="003650D0" w14:paraId="4CEA4EE9" w14:textId="77777777" w:rsidTr="00C31EB6">
        <w:trPr>
          <w:tblHeader/>
        </w:trPr>
        <w:tc>
          <w:tcPr>
            <w:tcW w:w="5395" w:type="dxa"/>
            <w:shd w:val="clear" w:color="auto" w:fill="auto"/>
          </w:tcPr>
          <w:p w14:paraId="1F12BDD3" w14:textId="77777777" w:rsidR="001671BA" w:rsidRPr="006D4DC5" w:rsidRDefault="001671BA" w:rsidP="00C31EB6">
            <w:pPr>
              <w:pStyle w:val="ProductList-OfferingBody"/>
              <w:rPr>
                <w:color w:val="000000" w:themeColor="text1"/>
              </w:rPr>
            </w:pPr>
            <w:r>
              <w:rPr>
                <w:color w:val="000000" w:themeColor="text1"/>
              </w:rPr>
              <w:t>Power BI Embedded</w:t>
            </w:r>
          </w:p>
        </w:tc>
        <w:tc>
          <w:tcPr>
            <w:tcW w:w="5395" w:type="dxa"/>
            <w:shd w:val="clear" w:color="auto" w:fill="auto"/>
          </w:tcPr>
          <w:p w14:paraId="2D08FD4D" w14:textId="77777777" w:rsidR="001671BA" w:rsidRPr="006D4DC5" w:rsidRDefault="001671BA" w:rsidP="00C31EB6">
            <w:pPr>
              <w:pStyle w:val="ProductList-OfferingBody"/>
              <w:rPr>
                <w:color w:val="000000" w:themeColor="text1"/>
              </w:rPr>
            </w:pPr>
            <w:r>
              <w:rPr>
                <w:color w:val="000000" w:themeColor="text1"/>
              </w:rPr>
              <w:t>Brak</w:t>
            </w:r>
          </w:p>
        </w:tc>
      </w:tr>
      <w:tr w:rsidR="001671BA" w:rsidRPr="003650D0" w14:paraId="4E8C0157" w14:textId="77777777" w:rsidTr="00C31EB6">
        <w:trPr>
          <w:tblHeader/>
        </w:trPr>
        <w:tc>
          <w:tcPr>
            <w:tcW w:w="5395" w:type="dxa"/>
            <w:shd w:val="clear" w:color="auto" w:fill="auto"/>
          </w:tcPr>
          <w:p w14:paraId="53E2159D" w14:textId="77777777" w:rsidR="001671BA" w:rsidRPr="006D4DC5" w:rsidRDefault="001671BA" w:rsidP="00C31EB6">
            <w:pPr>
              <w:pStyle w:val="ProductList-OfferingBody"/>
              <w:rPr>
                <w:color w:val="000000" w:themeColor="text1"/>
              </w:rPr>
            </w:pPr>
            <w:r>
              <w:rPr>
                <w:color w:val="000000" w:themeColor="text1"/>
              </w:rPr>
              <w:t>Power BI Premium</w:t>
            </w:r>
          </w:p>
        </w:tc>
        <w:tc>
          <w:tcPr>
            <w:tcW w:w="5395" w:type="dxa"/>
            <w:shd w:val="clear" w:color="auto" w:fill="auto"/>
          </w:tcPr>
          <w:p w14:paraId="23640121" w14:textId="77777777" w:rsidR="001671BA" w:rsidRDefault="001671BA" w:rsidP="00C31EB6">
            <w:pPr>
              <w:pStyle w:val="ProductList-OfferingBody"/>
              <w:rPr>
                <w:color w:val="000000" w:themeColor="text1"/>
              </w:rPr>
            </w:pPr>
          </w:p>
        </w:tc>
      </w:tr>
      <w:tr w:rsidR="001671BA" w:rsidRPr="003650D0" w14:paraId="2B728D09" w14:textId="77777777" w:rsidTr="00C31EB6">
        <w:trPr>
          <w:tblHeader/>
        </w:trPr>
        <w:tc>
          <w:tcPr>
            <w:tcW w:w="5395" w:type="dxa"/>
            <w:shd w:val="clear" w:color="auto" w:fill="auto"/>
          </w:tcPr>
          <w:p w14:paraId="6C1C42D7" w14:textId="77777777" w:rsidR="001671BA" w:rsidRPr="006D4DC5" w:rsidRDefault="001671BA" w:rsidP="00C31EB6">
            <w:pPr>
              <w:pStyle w:val="ProductList-OfferingBody"/>
              <w:rPr>
                <w:color w:val="000000" w:themeColor="text1"/>
              </w:rPr>
            </w:pPr>
            <w:r>
              <w:rPr>
                <w:color w:val="000000" w:themeColor="text1"/>
              </w:rPr>
              <w:t>Power BI Pro</w:t>
            </w:r>
          </w:p>
        </w:tc>
        <w:tc>
          <w:tcPr>
            <w:tcW w:w="5395" w:type="dxa"/>
            <w:shd w:val="clear" w:color="auto" w:fill="auto"/>
          </w:tcPr>
          <w:p w14:paraId="133D22F3" w14:textId="77777777" w:rsidR="001671BA" w:rsidRDefault="001671BA" w:rsidP="00C31EB6">
            <w:pPr>
              <w:pStyle w:val="ProductList-OfferingBody"/>
              <w:rPr>
                <w:color w:val="000000" w:themeColor="text1"/>
              </w:rPr>
            </w:pPr>
          </w:p>
        </w:tc>
      </w:tr>
    </w:tbl>
    <w:p w14:paraId="302BCF65" w14:textId="77777777" w:rsidR="00DA10E6" w:rsidRPr="0059513D" w:rsidRDefault="00DA10E6" w:rsidP="00DA10E6">
      <w:pPr>
        <w:pStyle w:val="ProductList-Body"/>
      </w:pPr>
    </w:p>
    <w:p w14:paraId="476D5C3E" w14:textId="491EF1E1" w:rsidR="0005587D" w:rsidRPr="00FB368F" w:rsidRDefault="002259E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65753068"/>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2259E6"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65753069"/>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753070"/>
      <w:bookmarkEnd w:id="15"/>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65753071"/>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2259E6"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2259E6"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65753072"/>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2259E6"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2259E6"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65753073"/>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2259E6"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2259E6"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65753074"/>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2259E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65753075"/>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2259E6"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2259E6"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65753076"/>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2259E6"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2259E6"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3077"/>
      <w:r>
        <w:t>Dynamics 365 Remote Assist</w:t>
      </w:r>
      <w:bookmarkEnd w:id="41"/>
      <w:bookmarkEnd w:id="42"/>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2259E6"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lastRenderedPageBreak/>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2259E6"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3" w:name="_Toc65753078"/>
      <w:r w:rsidRPr="007D5918">
        <w:rPr>
          <w:lang w:val="en-US"/>
        </w:rPr>
        <w:t>Dynamics 365 Sales Enterprise; Dynamics 365 Sales Professional</w:t>
      </w:r>
      <w:bookmarkEnd w:id="43"/>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2259E6"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2259E6"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4" w:name="_Toc65753079"/>
      <w:r w:rsidRPr="007D5918">
        <w:rPr>
          <w:lang w:val="en-US"/>
        </w:rPr>
        <w:t xml:space="preserve">Dynamics 365 </w:t>
      </w:r>
      <w:bookmarkStart w:id="45" w:name="_Hlk19533710"/>
      <w:bookmarkEnd w:id="37"/>
      <w:bookmarkEnd w:id="38"/>
      <w:bookmarkEnd w:id="39"/>
      <w:r w:rsidR="00C77BDC" w:rsidRPr="0022548E">
        <w:t>Supply Chain Management; Dynamics 365 Finance</w:t>
      </w:r>
      <w:bookmarkStart w:id="46" w:name="_Hlk51044510"/>
      <w:bookmarkEnd w:id="45"/>
      <w:r w:rsidR="004F0FB8" w:rsidRPr="004F0FB8">
        <w:rPr>
          <w:lang w:val="en-US"/>
        </w:rPr>
        <w:t>; Dynamics 365 Project Operations</w:t>
      </w:r>
      <w:bookmarkEnd w:id="44"/>
      <w:bookmarkEnd w:id="4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2259E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65753080"/>
      <w:bookmarkEnd w:id="47"/>
      <w:bookmarkEnd w:id="48"/>
      <w:bookmarkEnd w:id="49"/>
      <w:bookmarkEnd w:id="50"/>
      <w:bookmarkEnd w:id="51"/>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65753081"/>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65753082"/>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lastRenderedPageBreak/>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65753083"/>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6" w:name="_Toc65753084"/>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lastRenderedPageBreak/>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59" w:name="_Toc65753085"/>
      <w:r>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65753086"/>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65753087"/>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6" w:name="_Hlk37926720"/>
      <w:bookmarkStart w:id="67" w:name="_Toc65753088"/>
      <w:r>
        <w:t xml:space="preserve">Microsoft 365 Apps for </w:t>
      </w:r>
      <w:r w:rsidR="007777D8">
        <w:t>b</w:t>
      </w:r>
      <w:r>
        <w:t>usiness</w:t>
      </w:r>
      <w:bookmarkEnd w:id="66"/>
      <w:bookmarkEnd w:id="67"/>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8" w:name="_Toc477262542"/>
    <w:bookmarkStart w:id="69" w:name="_Toc457821517"/>
    <w:bookmarkStart w:id="70"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1" w:name="_Hlk37926721"/>
      <w:bookmarkStart w:id="72" w:name="_Toc65753089"/>
      <w:bookmarkEnd w:id="68"/>
      <w:bookmarkEnd w:id="69"/>
      <w:bookmarkEnd w:id="70"/>
      <w:r>
        <w:t>Microsoft 365 Apps for enterprise</w:t>
      </w:r>
      <w:bookmarkEnd w:id="71"/>
      <w:bookmarkEnd w:id="72"/>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3" w:name="_Toc65753090"/>
      <w:r>
        <w:lastRenderedPageBreak/>
        <w:t>Office 365 Advanced Compliance</w:t>
      </w:r>
      <w:bookmarkEnd w:id="73"/>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2259E6"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2259E6"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4" w:name="_Toc65753091"/>
      <w:r>
        <w:t>Office Online</w:t>
      </w:r>
      <w:bookmarkEnd w:id="74"/>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5" w:name="_Toc65753092"/>
      <w:r>
        <w:t>Wideo Office 365</w:t>
      </w:r>
      <w:bookmarkEnd w:id="75"/>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lastRenderedPageBreak/>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AD1B69">
      <w:pPr>
        <w:pStyle w:val="ProductList-Offering2Heading"/>
      </w:pPr>
      <w:bookmarkStart w:id="76" w:name="_Toc65753093"/>
      <w:r>
        <w:t>OneDrive for Business</w:t>
      </w:r>
      <w:bookmarkEnd w:id="76"/>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7" w:name="_Toc65753094"/>
      <w:r>
        <w:t>Project</w:t>
      </w:r>
      <w:bookmarkEnd w:id="77"/>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8" w:name="_Toc65753095"/>
      <w:r>
        <w:t>SharePoint Online</w:t>
      </w:r>
      <w:bookmarkEnd w:id="78"/>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lastRenderedPageBreak/>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9" w:name="_Toc65753096"/>
      <w:r>
        <w:t>Skype dla firm Online</w:t>
      </w:r>
      <w:bookmarkEnd w:id="79"/>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0" w:name="_Toc457821525"/>
    <w:bookmarkStart w:id="81" w:name="_Toc526859637"/>
    <w:bookmarkStart w:id="8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3" w:name="_Toc65753097"/>
      <w:r>
        <w:t xml:space="preserve">Pakiety telefoniczne i konferencje głosowe w oprogramowaniu </w:t>
      </w:r>
      <w:bookmarkEnd w:id="80"/>
      <w:bookmarkEnd w:id="81"/>
      <w:bookmarkEnd w:id="82"/>
      <w:r w:rsidR="003C5DCA">
        <w:t>Microsoft Teams</w:t>
      </w:r>
      <w:bookmarkEnd w:id="83"/>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2259E6"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4"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5" w:name="_Toc65753098"/>
      <w:r>
        <w:t xml:space="preserve">Jakość głosu w oprogramowaniu </w:t>
      </w:r>
      <w:bookmarkEnd w:id="84"/>
      <w:r w:rsidR="003C5DCA">
        <w:t>Microsoft Teams</w:t>
      </w:r>
      <w:bookmarkEnd w:id="85"/>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2259E6"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6" w:name="_Toc487138021"/>
    <w:bookmarkStart w:id="87"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8" w:name="_Toc65753099"/>
      <w:r>
        <w:t>Usługa Workplace Analytics</w:t>
      </w:r>
      <w:bookmarkEnd w:id="88"/>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6"/>
    <w:bookmarkEnd w:id="87"/>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9" w:name="_Toc65753100"/>
      <w:r>
        <w:t>Yammer Enterprise</w:t>
      </w:r>
      <w:bookmarkEnd w:id="89"/>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lastRenderedPageBreak/>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0" w:name="_Toc52348915"/>
      <w:bookmarkStart w:id="91" w:name="_Toc65753101"/>
      <w:bookmarkStart w:id="92" w:name="MicrosoftAzureServices"/>
      <w:r>
        <w:t>Usługi Microsoft Azure</w:t>
      </w:r>
      <w:bookmarkEnd w:id="90"/>
      <w:r>
        <w:t xml:space="preserve"> i Plany Azure</w:t>
      </w:r>
      <w:bookmarkEnd w:id="91"/>
    </w:p>
    <w:bookmarkEnd w:id="92"/>
    <w:p w14:paraId="377FA263" w14:textId="77777777" w:rsidR="00E8112E" w:rsidRPr="00A77B85" w:rsidRDefault="00E8112E" w:rsidP="00E8112E">
      <w:r>
        <w:rPr>
          <w:sz w:val="18"/>
        </w:rPr>
        <w:t xml:space="preserve">Szczególne postanowienia dotyczące Usług Azure i Planów Azure można znaleźć pod adresem </w:t>
      </w:r>
      <w:hyperlink r:id="rId23"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3" w:name="_Toc65753102"/>
      <w:r>
        <w:t>Inne usługi online</w:t>
      </w:r>
      <w:bookmarkEnd w:id="93"/>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2259E6"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2259E6"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6" w:name="_Toc65753103"/>
      <w:r>
        <w:t>Bing Maps Enterprise Platform</w:t>
      </w:r>
      <w:bookmarkEnd w:id="96"/>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 xml:space="preserve">interfejsu API Bing Maps Platform; oraz (ii) Klient nie dostarczy do Microsoft z co najmniej dziewięćdziesięciodniowym (90-dniowym) </w:t>
      </w:r>
      <w:r>
        <w:lastRenderedPageBreak/>
        <w:t>wyprzedzeniem powiadomienia o jakimkolwiek znanym istotnym zwiększeniu wolumenu użycia, przy czym istotne zwiększenie wolumenu użycia definiuje się jako użycie o co najmniej 50% większe niż w poprzednim miesiącu.</w:t>
      </w:r>
    </w:p>
    <w:bookmarkStart w:id="97"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98" w:name="_Toc65753104"/>
      <w:r>
        <w:t>Usługa Bing Maps Mobile Asset Management</w:t>
      </w:r>
      <w:bookmarkEnd w:id="97"/>
      <w:bookmarkEnd w:id="98"/>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6" w:name="_Toc65753105"/>
      <w:r>
        <w:t>Microsoft Cloud App Security</w:t>
      </w:r>
      <w:bookmarkEnd w:id="99"/>
      <w:bookmarkEnd w:id="100"/>
      <w:bookmarkEnd w:id="106"/>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2259E6"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7" w:name="_Toc65753106"/>
      <w:r>
        <w:lastRenderedPageBreak/>
        <w:t xml:space="preserve">Microsoft </w:t>
      </w:r>
      <w:bookmarkEnd w:id="101"/>
      <w:r w:rsidR="00E7208F">
        <w:t>Power Automate</w:t>
      </w:r>
      <w:bookmarkEnd w:id="107"/>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08" w:name="_Toc65753107"/>
      <w:r>
        <w:t>Microsoft Intune</w:t>
      </w:r>
      <w:bookmarkEnd w:id="102"/>
      <w:bookmarkEnd w:id="103"/>
      <w:bookmarkEnd w:id="108"/>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2259E6"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09"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0" w:name="_Toc65753108"/>
      <w:r>
        <w:t>Microsoft Kaizala Pro</w:t>
      </w:r>
      <w:bookmarkEnd w:id="110"/>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1" w:name="_Toc65753109"/>
      <w:r>
        <w:t>Microsoft Power</w:t>
      </w:r>
      <w:r w:rsidR="00A839EE">
        <w:t xml:space="preserve"> </w:t>
      </w:r>
      <w:r>
        <w:t>Apps</w:t>
      </w:r>
      <w:bookmarkEnd w:id="109"/>
      <w:bookmarkEnd w:id="111"/>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2259E6"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2259E6"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3" w:name="_Toc65753110"/>
      <w:r w:rsidRPr="00AB2382">
        <w:t>Minecraft: Education Edition</w:t>
      </w:r>
      <w:bookmarkEnd w:id="104"/>
      <w:bookmarkEnd w:id="113"/>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4" w:name="_Toc65753111"/>
      <w:r>
        <w:t>Z usługą Power BI</w:t>
      </w:r>
      <w:bookmarkEnd w:id="105"/>
      <w:bookmarkEnd w:id="114"/>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2259E6"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5"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6" w:name="_Toc65753112"/>
      <w:r>
        <w:t>Power BI Premium</w:t>
      </w:r>
      <w:bookmarkEnd w:id="115"/>
      <w:bookmarkEnd w:id="116"/>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lastRenderedPageBreak/>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2259E6"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17" w:name="_Toc65753113"/>
      <w:r w:rsidRPr="00BC54F2">
        <w:t xml:space="preserve">Power BI </w:t>
      </w:r>
      <w:r w:rsidR="008F09A9" w:rsidRPr="00BC54F2">
        <w:t>Pro</w:t>
      </w:r>
      <w:bookmarkEnd w:id="117"/>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2259E6"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2259E6"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18" w:name="_Toc65753114"/>
      <w:r>
        <w:t>Interfejs programowania aplikacji Translator</w:t>
      </w:r>
      <w:bookmarkEnd w:id="118"/>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2259E6"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lastRenderedPageBreak/>
              <w:t>&lt; 95%</w:t>
            </w:r>
          </w:p>
        </w:tc>
        <w:tc>
          <w:tcPr>
            <w:tcW w:w="5400" w:type="dxa"/>
          </w:tcPr>
          <w:p w14:paraId="55A96903" w14:textId="77777777" w:rsidR="00515EF4" w:rsidRDefault="00515EF4" w:rsidP="00E7208F">
            <w:pPr>
              <w:pStyle w:val="ProductList-OfferingBody"/>
              <w:jc w:val="center"/>
            </w:pPr>
            <w:r>
              <w:t>100%</w:t>
            </w:r>
          </w:p>
        </w:tc>
      </w:tr>
    </w:tbl>
    <w:bookmarkStart w:id="119" w:name="_Toc457821597"/>
    <w:bookmarkStart w:id="120" w:name="_Toc465333785"/>
    <w:bookmarkStart w:id="121"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22" w:name="_Toc13833097"/>
      <w:bookmarkStart w:id="123" w:name="_Toc55920329"/>
      <w:bookmarkStart w:id="124" w:name="_Toc65753115"/>
      <w:bookmarkEnd w:id="119"/>
      <w:bookmarkEnd w:id="120"/>
      <w:bookmarkEnd w:id="121"/>
      <w:r w:rsidRPr="00C268D9">
        <w:t>Ochrona punktu końcowego w usłudze Microsoft Defender</w:t>
      </w:r>
      <w:bookmarkEnd w:id="122"/>
      <w:bookmarkEnd w:id="123"/>
      <w:bookmarkEnd w:id="124"/>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2259E6"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5"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26" w:name="_Toc64891130"/>
      <w:bookmarkStart w:id="127" w:name="_Toc65753116"/>
      <w:r>
        <w:t>Drukowanie uniwersalne</w:t>
      </w:r>
      <w:bookmarkEnd w:id="126"/>
      <w:bookmarkEnd w:id="127"/>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2259E6"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2259E6"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4DB03653" w14:textId="77777777" w:rsidR="00C268D9" w:rsidRDefault="00C268D9" w:rsidP="006E17A6">
      <w:pPr>
        <w:pStyle w:val="ProductList-Body"/>
      </w:pPr>
    </w:p>
    <w:p w14:paraId="490A12D9" w14:textId="09599B87" w:rsidR="00C268D9" w:rsidRDefault="00C268D9" w:rsidP="006E17A6">
      <w:pPr>
        <w:pStyle w:val="ProductList-Body"/>
        <w:sectPr w:rsidR="00C268D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8" w:name="_Toc65753117"/>
      <w:r>
        <w:lastRenderedPageBreak/>
        <w:t>Załącznik A</w:t>
      </w:r>
      <w:bookmarkEnd w:id="125"/>
      <w:r>
        <w:t xml:space="preserve"> – Zadeklarowanie Poziomu Usługi w Zakresie Wykrywania i Blokowania Wirusów, Efektywności Filtrów Antyspamowych i Fałszywych Trafień Pozytywnych</w:t>
      </w:r>
      <w:bookmarkEnd w:id="12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29" w:name="AppendixB"/>
      <w:bookmarkStart w:id="130" w:name="_Toc65753118"/>
      <w:r>
        <w:lastRenderedPageBreak/>
        <w:t>Załącznik B</w:t>
      </w:r>
      <w:bookmarkEnd w:id="129"/>
      <w:r>
        <w:t xml:space="preserve"> </w:t>
      </w:r>
      <w:r w:rsidR="008868E1">
        <w:t>–</w:t>
      </w:r>
      <w:r>
        <w:t xml:space="preserve"> Zadeklarowanie Poziomu Usługi w Zakresie Czasu Nieprzerwanej Pracy i Dostarczania Poczty Elektronicznej</w:t>
      </w:r>
      <w:bookmarkEnd w:id="13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0E71" w14:textId="77777777" w:rsidR="002259E6" w:rsidRDefault="002259E6" w:rsidP="009A573F">
      <w:pPr>
        <w:spacing w:after="0" w:line="240" w:lineRule="auto"/>
      </w:pPr>
      <w:r>
        <w:separator/>
      </w:r>
    </w:p>
  </w:endnote>
  <w:endnote w:type="continuationSeparator" w:id="0">
    <w:p w14:paraId="3F3BA36C" w14:textId="77777777" w:rsidR="002259E6" w:rsidRDefault="002259E6" w:rsidP="009A573F">
      <w:pPr>
        <w:spacing w:after="0" w:line="240" w:lineRule="auto"/>
      </w:pPr>
      <w:r>
        <w:continuationSeparator/>
      </w:r>
    </w:p>
  </w:endnote>
  <w:endnote w:type="continuationNotice" w:id="1">
    <w:p w14:paraId="0D9D7045" w14:textId="77777777" w:rsidR="002259E6" w:rsidRDefault="00225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2259E6"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2259E6"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2259E6"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2259E6"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2259E6"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2259E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2259E6"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2259E6"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2259E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2259E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2259E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2259E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2259E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2259E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2259E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2259E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2259E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2259E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2259E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2259E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2259E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2259E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2259E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2259E6"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2259E6"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2259E6"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2259E6"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2259E6"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2259E6"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2259E6"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2259E6"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2259E6"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2259E6"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2259E6"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2259E6"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2259E6"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2259E6"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2259E6"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2259E6"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2259E6"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2259E6"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2259E6"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2259E6"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2259E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2259E6"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2259E6"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2259E6"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2259E6"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2259E6"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2259E6"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2259E6"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2259E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2259E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2259E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2259E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2259E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2259E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2259E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2259E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2259E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2259E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2259E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2259E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2259E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2259E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2259E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B05D" w14:textId="77777777" w:rsidR="002259E6" w:rsidRDefault="002259E6" w:rsidP="009A573F">
      <w:pPr>
        <w:spacing w:after="0" w:line="240" w:lineRule="auto"/>
      </w:pPr>
      <w:r>
        <w:separator/>
      </w:r>
    </w:p>
  </w:footnote>
  <w:footnote w:type="continuationSeparator" w:id="0">
    <w:p w14:paraId="6D15B622" w14:textId="77777777" w:rsidR="002259E6" w:rsidRDefault="002259E6" w:rsidP="009A573F">
      <w:pPr>
        <w:spacing w:after="0" w:line="240" w:lineRule="auto"/>
      </w:pPr>
      <w:r>
        <w:continuationSeparator/>
      </w:r>
    </w:p>
  </w:footnote>
  <w:footnote w:type="continuationNotice" w:id="1">
    <w:p w14:paraId="16082A46" w14:textId="77777777" w:rsidR="002259E6" w:rsidRDefault="00225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34F136A6" w:rsidR="00AD1B69" w:rsidRPr="00441A22" w:rsidRDefault="002259E6"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1671BA">
          <w:rPr>
            <w:sz w:val="16"/>
            <w:szCs w:val="16"/>
          </w:rPr>
          <w:t>lipca</w:t>
        </w:r>
        <w:r w:rsidR="00AD1B69">
          <w:rPr>
            <w:sz w:val="15"/>
            <w:szCs w:val="15"/>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0905D3A" w:rsidR="00AD1B69" w:rsidRPr="00441A22" w:rsidRDefault="002259E6" w:rsidP="00796FED">
    <w:pPr>
      <w:pStyle w:val="ProductList-Body"/>
      <w:tabs>
        <w:tab w:val="clear" w:pos="360"/>
        <w:tab w:val="clear" w:pos="720"/>
        <w:tab w:val="clear" w:pos="1080"/>
        <w:tab w:val="center" w:pos="5040"/>
        <w:tab w:val="right" w:pos="10800"/>
      </w:tabs>
      <w:rPr>
        <w:sz w:val="22"/>
      </w:rPr>
    </w:pPr>
    <w:sdt>
      <w:sdtPr>
        <w:rPr>
          <w:sz w:val="16"/>
          <w:szCs w:val="16"/>
        </w:rPr>
        <w:id w:val="787859858"/>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1671BA">
          <w:rPr>
            <w:sz w:val="16"/>
            <w:szCs w:val="16"/>
          </w:rPr>
          <w:t>lipca</w:t>
        </w:r>
        <w:r w:rsidR="000F04B0">
          <w:rPr>
            <w:sz w:val="15"/>
            <w:szCs w:val="15"/>
          </w:rPr>
          <w:t xml:space="preserve">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noProof/>
            <w:sz w:val="16"/>
            <w:szCs w:val="16"/>
          </w:rPr>
          <w:t>2</w:t>
        </w:r>
        <w:r w:rsidR="00AD1B6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OavcXjqHCFXn06c24iyE2kqKZynk3FfU3mss+upjG8QLQfRw3jMrOOOQydO5jT5DyzAtPzFj6g+rW4cQiV83HA==" w:salt="U6CJ685Q0MYd4HlDWJV7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4F9E"/>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59E6"/>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3F6D33"/>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DF62D0"/>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122B-AFBF-40B5-944F-E7F4AB7AAFA4}">
  <ds:schemaRefs>
    <ds:schemaRef ds:uri="http://schemas.microsoft.com/sharepoint/v3/contenttype/forms"/>
  </ds:schemaRefs>
</ds:datastoreItem>
</file>

<file path=customXml/itemProps2.xml><?xml version="1.0" encoding="utf-8"?>
<ds:datastoreItem xmlns:ds="http://schemas.openxmlformats.org/officeDocument/2006/customXml" ds:itemID="{F10DDEC6-23B3-48EB-BE52-BCC67B147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71FA8-82B3-4D03-94E7-D81086D2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11412</Words>
  <Characters>65053</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2021-07-10T04:37:00Z</dcterms:created>
  <dcterms:modified xsi:type="dcterms:W3CDTF">2021-07-10T04:37:00Z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