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0FEAADC1" w:rsidR="00FD4A5C" w:rsidRPr="00FB368F" w:rsidRDefault="00FD4A5C" w:rsidP="00026BC7">
      <w:pPr>
        <w:pStyle w:val="ProductList-Body"/>
        <w:shd w:val="clear" w:color="auto" w:fill="0072C6"/>
        <w:tabs>
          <w:tab w:val="clear" w:pos="360"/>
          <w:tab w:val="clear" w:pos="720"/>
          <w:tab w:val="clear" w:pos="1080"/>
          <w:tab w:val="left" w:pos="333"/>
        </w:tabs>
        <w:ind w:right="1800" w:firstLine="360"/>
      </w:pPr>
      <w:r>
        <w:rPr>
          <w:rFonts w:asciiTheme="majorHAnsi" w:hAnsiTheme="majorHAnsi"/>
          <w:color w:val="FFFFFF" w:themeColor="background1"/>
          <w:sz w:val="72"/>
          <w:szCs w:val="72"/>
        </w:rPr>
        <w:t xml:space="preserve">Umowa Dotycząca Poziomu </w:t>
      </w:r>
      <w:r w:rsidR="00026BC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Usług dla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Usług Microsoft Online</w:t>
      </w:r>
    </w:p>
    <w:p w14:paraId="70B26C76" w14:textId="48049E26" w:rsidR="00807C36" w:rsidRPr="00FB368F" w:rsidRDefault="00F9454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4 maja</w:t>
      </w:r>
      <w:r w:rsidR="00FD4A5C">
        <w:rPr>
          <w:rFonts w:asciiTheme="majorHAnsi" w:hAnsiTheme="majorHAnsi"/>
          <w:color w:val="FFFFFF" w:themeColor="background1"/>
          <w:sz w:val="72"/>
          <w:szCs w:val="72"/>
        </w:rPr>
        <w:t xml:space="preserve"> 2015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4088"/>
      <w:r>
        <w:lastRenderedPageBreak/>
        <w:t>Spis treści</w:t>
      </w:r>
      <w:bookmarkEnd w:id="1"/>
      <w:bookmarkEnd w:id="2"/>
    </w:p>
    <w:bookmarkStart w:id="3" w:name="_GoBack"/>
    <w:bookmarkEnd w:id="3"/>
    <w:p w14:paraId="1BD6FDA9" w14:textId="77777777" w:rsidR="00A45285"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4088" w:history="1">
        <w:r w:rsidR="00A45285" w:rsidRPr="0040450B">
          <w:rPr>
            <w:rStyle w:val="Hyperlink"/>
            <w:noProof/>
          </w:rPr>
          <w:t>Spis treści</w:t>
        </w:r>
        <w:r w:rsidR="00A45285">
          <w:rPr>
            <w:noProof/>
            <w:webHidden/>
          </w:rPr>
          <w:tab/>
        </w:r>
        <w:r w:rsidR="00A45285">
          <w:rPr>
            <w:noProof/>
            <w:webHidden/>
          </w:rPr>
          <w:fldChar w:fldCharType="begin"/>
        </w:r>
        <w:r w:rsidR="00A45285">
          <w:rPr>
            <w:noProof/>
            <w:webHidden/>
          </w:rPr>
          <w:instrText xml:space="preserve"> PAGEREF _Toc418674088 \h </w:instrText>
        </w:r>
        <w:r w:rsidR="00A45285">
          <w:rPr>
            <w:noProof/>
            <w:webHidden/>
          </w:rPr>
        </w:r>
        <w:r w:rsidR="00A45285">
          <w:rPr>
            <w:noProof/>
            <w:webHidden/>
          </w:rPr>
          <w:fldChar w:fldCharType="separate"/>
        </w:r>
        <w:r w:rsidR="00A45285">
          <w:rPr>
            <w:noProof/>
            <w:webHidden/>
          </w:rPr>
          <w:t>2</w:t>
        </w:r>
        <w:r w:rsidR="00A45285">
          <w:rPr>
            <w:noProof/>
            <w:webHidden/>
          </w:rPr>
          <w:fldChar w:fldCharType="end"/>
        </w:r>
      </w:hyperlink>
    </w:p>
    <w:p w14:paraId="21CE0EBE" w14:textId="77777777" w:rsidR="00A45285" w:rsidRDefault="00A45285">
      <w:pPr>
        <w:pStyle w:val="TOC1"/>
        <w:tabs>
          <w:tab w:val="right" w:leader="dot" w:pos="5030"/>
        </w:tabs>
        <w:rPr>
          <w:rFonts w:eastAsiaTheme="minorEastAsia"/>
          <w:b w:val="0"/>
          <w:caps w:val="0"/>
          <w:noProof/>
          <w:sz w:val="22"/>
          <w:lang w:val="en-US" w:eastAsia="en-US" w:bidi="ar-SA"/>
        </w:rPr>
      </w:pPr>
      <w:hyperlink w:anchor="_Toc418674089" w:history="1">
        <w:r w:rsidRPr="0040450B">
          <w:rPr>
            <w:rStyle w:val="Hyperlink"/>
            <w:noProof/>
          </w:rPr>
          <w:t>Wprowadzenie</w:t>
        </w:r>
        <w:r>
          <w:rPr>
            <w:noProof/>
            <w:webHidden/>
          </w:rPr>
          <w:tab/>
        </w:r>
        <w:r>
          <w:rPr>
            <w:noProof/>
            <w:webHidden/>
          </w:rPr>
          <w:fldChar w:fldCharType="begin"/>
        </w:r>
        <w:r>
          <w:rPr>
            <w:noProof/>
            <w:webHidden/>
          </w:rPr>
          <w:instrText xml:space="preserve"> PAGEREF _Toc418674089 \h </w:instrText>
        </w:r>
        <w:r>
          <w:rPr>
            <w:noProof/>
            <w:webHidden/>
          </w:rPr>
        </w:r>
        <w:r>
          <w:rPr>
            <w:noProof/>
            <w:webHidden/>
          </w:rPr>
          <w:fldChar w:fldCharType="separate"/>
        </w:r>
        <w:r>
          <w:rPr>
            <w:noProof/>
            <w:webHidden/>
          </w:rPr>
          <w:t>3</w:t>
        </w:r>
        <w:r>
          <w:rPr>
            <w:noProof/>
            <w:webHidden/>
          </w:rPr>
          <w:fldChar w:fldCharType="end"/>
        </w:r>
      </w:hyperlink>
    </w:p>
    <w:p w14:paraId="79185A66" w14:textId="77777777" w:rsidR="00A45285" w:rsidRDefault="00A45285">
      <w:pPr>
        <w:pStyle w:val="TOC3"/>
        <w:tabs>
          <w:tab w:val="right" w:leader="dot" w:pos="5030"/>
        </w:tabs>
        <w:rPr>
          <w:rFonts w:eastAsiaTheme="minorEastAsia"/>
          <w:smallCaps w:val="0"/>
          <w:noProof/>
          <w:sz w:val="22"/>
          <w:lang w:val="en-US" w:eastAsia="en-US" w:bidi="ar-SA"/>
        </w:rPr>
      </w:pPr>
      <w:hyperlink w:anchor="_Toc418674090" w:history="1">
        <w:r w:rsidRPr="0040450B">
          <w:rPr>
            <w:rStyle w:val="Hyperlink"/>
            <w:noProof/>
          </w:rPr>
          <w:t>Informacje na temat tego dokumentu</w:t>
        </w:r>
        <w:r>
          <w:rPr>
            <w:noProof/>
            <w:webHidden/>
          </w:rPr>
          <w:tab/>
        </w:r>
        <w:r>
          <w:rPr>
            <w:noProof/>
            <w:webHidden/>
          </w:rPr>
          <w:fldChar w:fldCharType="begin"/>
        </w:r>
        <w:r>
          <w:rPr>
            <w:noProof/>
            <w:webHidden/>
          </w:rPr>
          <w:instrText xml:space="preserve"> PAGEREF _Toc418674090 \h </w:instrText>
        </w:r>
        <w:r>
          <w:rPr>
            <w:noProof/>
            <w:webHidden/>
          </w:rPr>
        </w:r>
        <w:r>
          <w:rPr>
            <w:noProof/>
            <w:webHidden/>
          </w:rPr>
          <w:fldChar w:fldCharType="separate"/>
        </w:r>
        <w:r>
          <w:rPr>
            <w:noProof/>
            <w:webHidden/>
          </w:rPr>
          <w:t>3</w:t>
        </w:r>
        <w:r>
          <w:rPr>
            <w:noProof/>
            <w:webHidden/>
          </w:rPr>
          <w:fldChar w:fldCharType="end"/>
        </w:r>
      </w:hyperlink>
    </w:p>
    <w:p w14:paraId="3650F0EB" w14:textId="77777777" w:rsidR="00A45285" w:rsidRDefault="00A45285">
      <w:pPr>
        <w:pStyle w:val="TOC3"/>
        <w:tabs>
          <w:tab w:val="right" w:leader="dot" w:pos="5030"/>
        </w:tabs>
        <w:rPr>
          <w:rFonts w:eastAsiaTheme="minorEastAsia"/>
          <w:smallCaps w:val="0"/>
          <w:noProof/>
          <w:sz w:val="22"/>
          <w:lang w:val="en-US" w:eastAsia="en-US" w:bidi="ar-SA"/>
        </w:rPr>
      </w:pPr>
      <w:hyperlink w:anchor="_Toc418674091" w:history="1">
        <w:r w:rsidRPr="0040450B">
          <w:rPr>
            <w:rStyle w:val="Hyperlink"/>
            <w:noProof/>
          </w:rPr>
          <w:t>Poprzednie wersje niniejszego Dokumentu</w:t>
        </w:r>
        <w:r>
          <w:rPr>
            <w:noProof/>
            <w:webHidden/>
          </w:rPr>
          <w:tab/>
        </w:r>
        <w:r>
          <w:rPr>
            <w:noProof/>
            <w:webHidden/>
          </w:rPr>
          <w:fldChar w:fldCharType="begin"/>
        </w:r>
        <w:r>
          <w:rPr>
            <w:noProof/>
            <w:webHidden/>
          </w:rPr>
          <w:instrText xml:space="preserve"> PAGEREF _Toc418674091 \h </w:instrText>
        </w:r>
        <w:r>
          <w:rPr>
            <w:noProof/>
            <w:webHidden/>
          </w:rPr>
        </w:r>
        <w:r>
          <w:rPr>
            <w:noProof/>
            <w:webHidden/>
          </w:rPr>
          <w:fldChar w:fldCharType="separate"/>
        </w:r>
        <w:r>
          <w:rPr>
            <w:noProof/>
            <w:webHidden/>
          </w:rPr>
          <w:t>3</w:t>
        </w:r>
        <w:r>
          <w:rPr>
            <w:noProof/>
            <w:webHidden/>
          </w:rPr>
          <w:fldChar w:fldCharType="end"/>
        </w:r>
      </w:hyperlink>
    </w:p>
    <w:p w14:paraId="5A373692" w14:textId="77777777" w:rsidR="00A45285" w:rsidRDefault="00A45285">
      <w:pPr>
        <w:pStyle w:val="TOC3"/>
        <w:tabs>
          <w:tab w:val="right" w:leader="dot" w:pos="5030"/>
        </w:tabs>
        <w:rPr>
          <w:rFonts w:eastAsiaTheme="minorEastAsia"/>
          <w:smallCaps w:val="0"/>
          <w:noProof/>
          <w:sz w:val="22"/>
          <w:lang w:val="en-US" w:eastAsia="en-US" w:bidi="ar-SA"/>
        </w:rPr>
      </w:pPr>
      <w:hyperlink w:anchor="_Toc418674092" w:history="1">
        <w:r w:rsidRPr="0040450B">
          <w:rPr>
            <w:rStyle w:val="Hyperlink"/>
            <w:noProof/>
          </w:rPr>
          <w:t>Objaśnienia i Opisy Zmian w Niniejszym Dokumencie</w:t>
        </w:r>
        <w:r>
          <w:rPr>
            <w:noProof/>
            <w:webHidden/>
          </w:rPr>
          <w:tab/>
        </w:r>
        <w:r>
          <w:rPr>
            <w:noProof/>
            <w:webHidden/>
          </w:rPr>
          <w:fldChar w:fldCharType="begin"/>
        </w:r>
        <w:r>
          <w:rPr>
            <w:noProof/>
            <w:webHidden/>
          </w:rPr>
          <w:instrText xml:space="preserve"> PAGEREF _Toc418674092 \h </w:instrText>
        </w:r>
        <w:r>
          <w:rPr>
            <w:noProof/>
            <w:webHidden/>
          </w:rPr>
        </w:r>
        <w:r>
          <w:rPr>
            <w:noProof/>
            <w:webHidden/>
          </w:rPr>
          <w:fldChar w:fldCharType="separate"/>
        </w:r>
        <w:r>
          <w:rPr>
            <w:noProof/>
            <w:webHidden/>
          </w:rPr>
          <w:t>3</w:t>
        </w:r>
        <w:r>
          <w:rPr>
            <w:noProof/>
            <w:webHidden/>
          </w:rPr>
          <w:fldChar w:fldCharType="end"/>
        </w:r>
      </w:hyperlink>
    </w:p>
    <w:p w14:paraId="133558A8" w14:textId="77777777" w:rsidR="00A45285" w:rsidRDefault="00A45285">
      <w:pPr>
        <w:pStyle w:val="TOC1"/>
        <w:tabs>
          <w:tab w:val="right" w:leader="dot" w:pos="5030"/>
        </w:tabs>
        <w:rPr>
          <w:rFonts w:eastAsiaTheme="minorEastAsia"/>
          <w:b w:val="0"/>
          <w:caps w:val="0"/>
          <w:noProof/>
          <w:sz w:val="22"/>
          <w:lang w:val="en-US" w:eastAsia="en-US" w:bidi="ar-SA"/>
        </w:rPr>
      </w:pPr>
      <w:hyperlink w:anchor="_Toc418674093" w:history="1">
        <w:r w:rsidRPr="0040450B">
          <w:rPr>
            <w:rStyle w:val="Hyperlink"/>
            <w:noProof/>
          </w:rPr>
          <w:t>Ogólne Postanowienia</w:t>
        </w:r>
        <w:r>
          <w:rPr>
            <w:noProof/>
            <w:webHidden/>
          </w:rPr>
          <w:tab/>
        </w:r>
        <w:r>
          <w:rPr>
            <w:noProof/>
            <w:webHidden/>
          </w:rPr>
          <w:fldChar w:fldCharType="begin"/>
        </w:r>
        <w:r>
          <w:rPr>
            <w:noProof/>
            <w:webHidden/>
          </w:rPr>
          <w:instrText xml:space="preserve"> PAGEREF _Toc418674093 \h </w:instrText>
        </w:r>
        <w:r>
          <w:rPr>
            <w:noProof/>
            <w:webHidden/>
          </w:rPr>
        </w:r>
        <w:r>
          <w:rPr>
            <w:noProof/>
            <w:webHidden/>
          </w:rPr>
          <w:fldChar w:fldCharType="separate"/>
        </w:r>
        <w:r>
          <w:rPr>
            <w:noProof/>
            <w:webHidden/>
          </w:rPr>
          <w:t>4</w:t>
        </w:r>
        <w:r>
          <w:rPr>
            <w:noProof/>
            <w:webHidden/>
          </w:rPr>
          <w:fldChar w:fldCharType="end"/>
        </w:r>
      </w:hyperlink>
    </w:p>
    <w:p w14:paraId="0096E1CD" w14:textId="77777777" w:rsidR="00A45285" w:rsidRDefault="00A45285">
      <w:pPr>
        <w:pStyle w:val="TOC2"/>
        <w:tabs>
          <w:tab w:val="right" w:leader="dot" w:pos="5030"/>
        </w:tabs>
        <w:rPr>
          <w:rFonts w:eastAsiaTheme="minorEastAsia"/>
          <w:b w:val="0"/>
          <w:smallCaps w:val="0"/>
          <w:noProof/>
          <w:sz w:val="22"/>
          <w:lang w:val="en-US" w:eastAsia="en-US" w:bidi="ar-SA"/>
        </w:rPr>
      </w:pPr>
      <w:hyperlink w:anchor="_Toc418674094" w:history="1">
        <w:r w:rsidRPr="0040450B">
          <w:rPr>
            <w:rStyle w:val="Hyperlink"/>
            <w:noProof/>
          </w:rPr>
          <w:t>Definicje</w:t>
        </w:r>
        <w:r>
          <w:rPr>
            <w:noProof/>
            <w:webHidden/>
          </w:rPr>
          <w:tab/>
        </w:r>
        <w:r>
          <w:rPr>
            <w:noProof/>
            <w:webHidden/>
          </w:rPr>
          <w:fldChar w:fldCharType="begin"/>
        </w:r>
        <w:r>
          <w:rPr>
            <w:noProof/>
            <w:webHidden/>
          </w:rPr>
          <w:instrText xml:space="preserve"> PAGEREF _Toc418674094 \h </w:instrText>
        </w:r>
        <w:r>
          <w:rPr>
            <w:noProof/>
            <w:webHidden/>
          </w:rPr>
        </w:r>
        <w:r>
          <w:rPr>
            <w:noProof/>
            <w:webHidden/>
          </w:rPr>
          <w:fldChar w:fldCharType="separate"/>
        </w:r>
        <w:r>
          <w:rPr>
            <w:noProof/>
            <w:webHidden/>
          </w:rPr>
          <w:t>4</w:t>
        </w:r>
        <w:r>
          <w:rPr>
            <w:noProof/>
            <w:webHidden/>
          </w:rPr>
          <w:fldChar w:fldCharType="end"/>
        </w:r>
      </w:hyperlink>
    </w:p>
    <w:p w14:paraId="376134DD" w14:textId="77777777" w:rsidR="00A45285" w:rsidRDefault="00A45285">
      <w:pPr>
        <w:pStyle w:val="TOC2"/>
        <w:tabs>
          <w:tab w:val="right" w:leader="dot" w:pos="5030"/>
        </w:tabs>
        <w:rPr>
          <w:rFonts w:eastAsiaTheme="minorEastAsia"/>
          <w:b w:val="0"/>
          <w:smallCaps w:val="0"/>
          <w:noProof/>
          <w:sz w:val="22"/>
          <w:lang w:val="en-US" w:eastAsia="en-US" w:bidi="ar-SA"/>
        </w:rPr>
      </w:pPr>
      <w:hyperlink w:anchor="_Toc418674095" w:history="1">
        <w:r w:rsidRPr="0040450B">
          <w:rPr>
            <w:rStyle w:val="Hyperlink"/>
            <w:noProof/>
          </w:rPr>
          <w:t>Postanowienia</w:t>
        </w:r>
        <w:r>
          <w:rPr>
            <w:noProof/>
            <w:webHidden/>
          </w:rPr>
          <w:tab/>
        </w:r>
        <w:r>
          <w:rPr>
            <w:noProof/>
            <w:webHidden/>
          </w:rPr>
          <w:fldChar w:fldCharType="begin"/>
        </w:r>
        <w:r>
          <w:rPr>
            <w:noProof/>
            <w:webHidden/>
          </w:rPr>
          <w:instrText xml:space="preserve"> PAGEREF _Toc418674095 \h </w:instrText>
        </w:r>
        <w:r>
          <w:rPr>
            <w:noProof/>
            <w:webHidden/>
          </w:rPr>
        </w:r>
        <w:r>
          <w:rPr>
            <w:noProof/>
            <w:webHidden/>
          </w:rPr>
          <w:fldChar w:fldCharType="separate"/>
        </w:r>
        <w:r>
          <w:rPr>
            <w:noProof/>
            <w:webHidden/>
          </w:rPr>
          <w:t>4</w:t>
        </w:r>
        <w:r>
          <w:rPr>
            <w:noProof/>
            <w:webHidden/>
          </w:rPr>
          <w:fldChar w:fldCharType="end"/>
        </w:r>
      </w:hyperlink>
    </w:p>
    <w:p w14:paraId="2735CF64" w14:textId="77777777" w:rsidR="00A45285" w:rsidRDefault="00A45285">
      <w:pPr>
        <w:pStyle w:val="TOC1"/>
        <w:tabs>
          <w:tab w:val="right" w:leader="dot" w:pos="5030"/>
        </w:tabs>
        <w:rPr>
          <w:rFonts w:eastAsiaTheme="minorEastAsia"/>
          <w:b w:val="0"/>
          <w:caps w:val="0"/>
          <w:noProof/>
          <w:sz w:val="22"/>
          <w:lang w:val="en-US" w:eastAsia="en-US" w:bidi="ar-SA"/>
        </w:rPr>
      </w:pPr>
      <w:hyperlink w:anchor="_Toc418674096" w:history="1">
        <w:r w:rsidRPr="0040450B">
          <w:rPr>
            <w:rStyle w:val="Hyperlink"/>
            <w:noProof/>
          </w:rPr>
          <w:t>Postanowienia Dotyczące Danej Usługi</w:t>
        </w:r>
        <w:r>
          <w:rPr>
            <w:noProof/>
            <w:webHidden/>
          </w:rPr>
          <w:tab/>
        </w:r>
        <w:r>
          <w:rPr>
            <w:noProof/>
            <w:webHidden/>
          </w:rPr>
          <w:fldChar w:fldCharType="begin"/>
        </w:r>
        <w:r>
          <w:rPr>
            <w:noProof/>
            <w:webHidden/>
          </w:rPr>
          <w:instrText xml:space="preserve"> PAGEREF _Toc418674096 \h </w:instrText>
        </w:r>
        <w:r>
          <w:rPr>
            <w:noProof/>
            <w:webHidden/>
          </w:rPr>
        </w:r>
        <w:r>
          <w:rPr>
            <w:noProof/>
            <w:webHidden/>
          </w:rPr>
          <w:fldChar w:fldCharType="separate"/>
        </w:r>
        <w:r>
          <w:rPr>
            <w:noProof/>
            <w:webHidden/>
          </w:rPr>
          <w:t>6</w:t>
        </w:r>
        <w:r>
          <w:rPr>
            <w:noProof/>
            <w:webHidden/>
          </w:rPr>
          <w:fldChar w:fldCharType="end"/>
        </w:r>
      </w:hyperlink>
    </w:p>
    <w:p w14:paraId="5661EABF" w14:textId="77777777" w:rsidR="00A45285" w:rsidRDefault="00A45285">
      <w:pPr>
        <w:pStyle w:val="TOC2"/>
        <w:tabs>
          <w:tab w:val="right" w:leader="dot" w:pos="5030"/>
        </w:tabs>
        <w:rPr>
          <w:rFonts w:eastAsiaTheme="minorEastAsia"/>
          <w:b w:val="0"/>
          <w:smallCaps w:val="0"/>
          <w:noProof/>
          <w:sz w:val="22"/>
          <w:lang w:val="en-US" w:eastAsia="en-US" w:bidi="ar-SA"/>
        </w:rPr>
      </w:pPr>
      <w:hyperlink w:anchor="_Toc418674097" w:history="1">
        <w:r w:rsidRPr="0040450B">
          <w:rPr>
            <w:rStyle w:val="Hyperlink"/>
            <w:noProof/>
          </w:rPr>
          <w:t>Microsoft Dynamics</w:t>
        </w:r>
        <w:r>
          <w:rPr>
            <w:noProof/>
            <w:webHidden/>
          </w:rPr>
          <w:tab/>
        </w:r>
        <w:r>
          <w:rPr>
            <w:noProof/>
            <w:webHidden/>
          </w:rPr>
          <w:fldChar w:fldCharType="begin"/>
        </w:r>
        <w:r>
          <w:rPr>
            <w:noProof/>
            <w:webHidden/>
          </w:rPr>
          <w:instrText xml:space="preserve"> PAGEREF _Toc418674097 \h </w:instrText>
        </w:r>
        <w:r>
          <w:rPr>
            <w:noProof/>
            <w:webHidden/>
          </w:rPr>
        </w:r>
        <w:r>
          <w:rPr>
            <w:noProof/>
            <w:webHidden/>
          </w:rPr>
          <w:fldChar w:fldCharType="separate"/>
        </w:r>
        <w:r>
          <w:rPr>
            <w:noProof/>
            <w:webHidden/>
          </w:rPr>
          <w:t>6</w:t>
        </w:r>
        <w:r>
          <w:rPr>
            <w:noProof/>
            <w:webHidden/>
          </w:rPr>
          <w:fldChar w:fldCharType="end"/>
        </w:r>
      </w:hyperlink>
    </w:p>
    <w:p w14:paraId="05777CCE"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098" w:history="1">
        <w:r w:rsidRPr="0040450B">
          <w:rPr>
            <w:rStyle w:val="Hyperlink"/>
            <w:noProof/>
          </w:rPr>
          <w:t>Microsoft Dynamics CRM</w:t>
        </w:r>
        <w:r>
          <w:rPr>
            <w:noProof/>
            <w:webHidden/>
          </w:rPr>
          <w:tab/>
        </w:r>
        <w:r>
          <w:rPr>
            <w:noProof/>
            <w:webHidden/>
          </w:rPr>
          <w:fldChar w:fldCharType="begin"/>
        </w:r>
        <w:r>
          <w:rPr>
            <w:noProof/>
            <w:webHidden/>
          </w:rPr>
          <w:instrText xml:space="preserve"> PAGEREF _Toc418674098 \h </w:instrText>
        </w:r>
        <w:r>
          <w:rPr>
            <w:noProof/>
            <w:webHidden/>
          </w:rPr>
        </w:r>
        <w:r>
          <w:rPr>
            <w:noProof/>
            <w:webHidden/>
          </w:rPr>
          <w:fldChar w:fldCharType="separate"/>
        </w:r>
        <w:r>
          <w:rPr>
            <w:noProof/>
            <w:webHidden/>
          </w:rPr>
          <w:t>6</w:t>
        </w:r>
        <w:r>
          <w:rPr>
            <w:noProof/>
            <w:webHidden/>
          </w:rPr>
          <w:fldChar w:fldCharType="end"/>
        </w:r>
      </w:hyperlink>
    </w:p>
    <w:p w14:paraId="53FB8F07" w14:textId="77777777" w:rsidR="00A45285" w:rsidRDefault="00A45285">
      <w:pPr>
        <w:pStyle w:val="TOC2"/>
        <w:tabs>
          <w:tab w:val="right" w:leader="dot" w:pos="5030"/>
        </w:tabs>
        <w:rPr>
          <w:rFonts w:eastAsiaTheme="minorEastAsia"/>
          <w:b w:val="0"/>
          <w:smallCaps w:val="0"/>
          <w:noProof/>
          <w:sz w:val="22"/>
          <w:lang w:val="en-US" w:eastAsia="en-US" w:bidi="ar-SA"/>
        </w:rPr>
      </w:pPr>
      <w:hyperlink w:anchor="_Toc418674099" w:history="1">
        <w:r w:rsidRPr="0040450B">
          <w:rPr>
            <w:rStyle w:val="Hyperlink"/>
            <w:noProof/>
          </w:rPr>
          <w:t>Usługi Office 365</w:t>
        </w:r>
        <w:r>
          <w:rPr>
            <w:noProof/>
            <w:webHidden/>
          </w:rPr>
          <w:tab/>
        </w:r>
        <w:r>
          <w:rPr>
            <w:noProof/>
            <w:webHidden/>
          </w:rPr>
          <w:fldChar w:fldCharType="begin"/>
        </w:r>
        <w:r>
          <w:rPr>
            <w:noProof/>
            <w:webHidden/>
          </w:rPr>
          <w:instrText xml:space="preserve"> PAGEREF _Toc418674099 \h </w:instrText>
        </w:r>
        <w:r>
          <w:rPr>
            <w:noProof/>
            <w:webHidden/>
          </w:rPr>
        </w:r>
        <w:r>
          <w:rPr>
            <w:noProof/>
            <w:webHidden/>
          </w:rPr>
          <w:fldChar w:fldCharType="separate"/>
        </w:r>
        <w:r>
          <w:rPr>
            <w:noProof/>
            <w:webHidden/>
          </w:rPr>
          <w:t>6</w:t>
        </w:r>
        <w:r>
          <w:rPr>
            <w:noProof/>
            <w:webHidden/>
          </w:rPr>
          <w:fldChar w:fldCharType="end"/>
        </w:r>
      </w:hyperlink>
    </w:p>
    <w:p w14:paraId="74AACF1D"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0" w:history="1">
        <w:r w:rsidRPr="0040450B">
          <w:rPr>
            <w:rStyle w:val="Hyperlink"/>
            <w:noProof/>
          </w:rPr>
          <w:t>Duet Enterprise Online</w:t>
        </w:r>
        <w:r>
          <w:rPr>
            <w:noProof/>
            <w:webHidden/>
          </w:rPr>
          <w:tab/>
        </w:r>
        <w:r>
          <w:rPr>
            <w:noProof/>
            <w:webHidden/>
          </w:rPr>
          <w:fldChar w:fldCharType="begin"/>
        </w:r>
        <w:r>
          <w:rPr>
            <w:noProof/>
            <w:webHidden/>
          </w:rPr>
          <w:instrText xml:space="preserve"> PAGEREF _Toc418674100 \h </w:instrText>
        </w:r>
        <w:r>
          <w:rPr>
            <w:noProof/>
            <w:webHidden/>
          </w:rPr>
        </w:r>
        <w:r>
          <w:rPr>
            <w:noProof/>
            <w:webHidden/>
          </w:rPr>
          <w:fldChar w:fldCharType="separate"/>
        </w:r>
        <w:r>
          <w:rPr>
            <w:noProof/>
            <w:webHidden/>
          </w:rPr>
          <w:t>6</w:t>
        </w:r>
        <w:r>
          <w:rPr>
            <w:noProof/>
            <w:webHidden/>
          </w:rPr>
          <w:fldChar w:fldCharType="end"/>
        </w:r>
      </w:hyperlink>
    </w:p>
    <w:p w14:paraId="57D887FD"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1" w:history="1">
        <w:r w:rsidRPr="0040450B">
          <w:rPr>
            <w:rStyle w:val="Hyperlink"/>
            <w:noProof/>
          </w:rPr>
          <w:t>Exchange Online</w:t>
        </w:r>
        <w:r>
          <w:rPr>
            <w:noProof/>
            <w:webHidden/>
          </w:rPr>
          <w:tab/>
        </w:r>
        <w:r>
          <w:rPr>
            <w:noProof/>
            <w:webHidden/>
          </w:rPr>
          <w:fldChar w:fldCharType="begin"/>
        </w:r>
        <w:r>
          <w:rPr>
            <w:noProof/>
            <w:webHidden/>
          </w:rPr>
          <w:instrText xml:space="preserve"> PAGEREF _Toc418674101 \h </w:instrText>
        </w:r>
        <w:r>
          <w:rPr>
            <w:noProof/>
            <w:webHidden/>
          </w:rPr>
        </w:r>
        <w:r>
          <w:rPr>
            <w:noProof/>
            <w:webHidden/>
          </w:rPr>
          <w:fldChar w:fldCharType="separate"/>
        </w:r>
        <w:r>
          <w:rPr>
            <w:noProof/>
            <w:webHidden/>
          </w:rPr>
          <w:t>7</w:t>
        </w:r>
        <w:r>
          <w:rPr>
            <w:noProof/>
            <w:webHidden/>
          </w:rPr>
          <w:fldChar w:fldCharType="end"/>
        </w:r>
      </w:hyperlink>
    </w:p>
    <w:p w14:paraId="28E5E9E0"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2" w:history="1">
        <w:r w:rsidRPr="0040450B">
          <w:rPr>
            <w:rStyle w:val="Hyperlink"/>
            <w:noProof/>
          </w:rPr>
          <w:t>Exchange Online Archiving</w:t>
        </w:r>
        <w:r>
          <w:rPr>
            <w:noProof/>
            <w:webHidden/>
          </w:rPr>
          <w:tab/>
        </w:r>
        <w:r>
          <w:rPr>
            <w:noProof/>
            <w:webHidden/>
          </w:rPr>
          <w:fldChar w:fldCharType="begin"/>
        </w:r>
        <w:r>
          <w:rPr>
            <w:noProof/>
            <w:webHidden/>
          </w:rPr>
          <w:instrText xml:space="preserve"> PAGEREF _Toc418674102 \h </w:instrText>
        </w:r>
        <w:r>
          <w:rPr>
            <w:noProof/>
            <w:webHidden/>
          </w:rPr>
        </w:r>
        <w:r>
          <w:rPr>
            <w:noProof/>
            <w:webHidden/>
          </w:rPr>
          <w:fldChar w:fldCharType="separate"/>
        </w:r>
        <w:r>
          <w:rPr>
            <w:noProof/>
            <w:webHidden/>
          </w:rPr>
          <w:t>7</w:t>
        </w:r>
        <w:r>
          <w:rPr>
            <w:noProof/>
            <w:webHidden/>
          </w:rPr>
          <w:fldChar w:fldCharType="end"/>
        </w:r>
      </w:hyperlink>
    </w:p>
    <w:p w14:paraId="1749FE9C"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3" w:history="1">
        <w:r w:rsidRPr="0040450B">
          <w:rPr>
            <w:rStyle w:val="Hyperlink"/>
            <w:noProof/>
          </w:rPr>
          <w:t>Exchange Online Protection</w:t>
        </w:r>
        <w:r>
          <w:rPr>
            <w:noProof/>
            <w:webHidden/>
          </w:rPr>
          <w:tab/>
        </w:r>
        <w:r>
          <w:rPr>
            <w:noProof/>
            <w:webHidden/>
          </w:rPr>
          <w:fldChar w:fldCharType="begin"/>
        </w:r>
        <w:r>
          <w:rPr>
            <w:noProof/>
            <w:webHidden/>
          </w:rPr>
          <w:instrText xml:space="preserve"> PAGEREF _Toc418674103 \h </w:instrText>
        </w:r>
        <w:r>
          <w:rPr>
            <w:noProof/>
            <w:webHidden/>
          </w:rPr>
        </w:r>
        <w:r>
          <w:rPr>
            <w:noProof/>
            <w:webHidden/>
          </w:rPr>
          <w:fldChar w:fldCharType="separate"/>
        </w:r>
        <w:r>
          <w:rPr>
            <w:noProof/>
            <w:webHidden/>
          </w:rPr>
          <w:t>7</w:t>
        </w:r>
        <w:r>
          <w:rPr>
            <w:noProof/>
            <w:webHidden/>
          </w:rPr>
          <w:fldChar w:fldCharType="end"/>
        </w:r>
      </w:hyperlink>
    </w:p>
    <w:p w14:paraId="0CB95E0C"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4" w:history="1">
        <w:r w:rsidRPr="0040450B">
          <w:rPr>
            <w:rStyle w:val="Hyperlink"/>
            <w:noProof/>
          </w:rPr>
          <w:t>Office 365 Business</w:t>
        </w:r>
        <w:r>
          <w:rPr>
            <w:noProof/>
            <w:webHidden/>
          </w:rPr>
          <w:tab/>
        </w:r>
        <w:r>
          <w:rPr>
            <w:noProof/>
            <w:webHidden/>
          </w:rPr>
          <w:fldChar w:fldCharType="begin"/>
        </w:r>
        <w:r>
          <w:rPr>
            <w:noProof/>
            <w:webHidden/>
          </w:rPr>
          <w:instrText xml:space="preserve"> PAGEREF _Toc418674104 \h </w:instrText>
        </w:r>
        <w:r>
          <w:rPr>
            <w:noProof/>
            <w:webHidden/>
          </w:rPr>
        </w:r>
        <w:r>
          <w:rPr>
            <w:noProof/>
            <w:webHidden/>
          </w:rPr>
          <w:fldChar w:fldCharType="separate"/>
        </w:r>
        <w:r>
          <w:rPr>
            <w:noProof/>
            <w:webHidden/>
          </w:rPr>
          <w:t>8</w:t>
        </w:r>
        <w:r>
          <w:rPr>
            <w:noProof/>
            <w:webHidden/>
          </w:rPr>
          <w:fldChar w:fldCharType="end"/>
        </w:r>
      </w:hyperlink>
    </w:p>
    <w:p w14:paraId="3E59AEC1"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5" w:history="1">
        <w:r w:rsidRPr="0040450B">
          <w:rPr>
            <w:rStyle w:val="Hyperlink"/>
            <w:noProof/>
          </w:rPr>
          <w:t>Office 365 ProPlus</w:t>
        </w:r>
        <w:r>
          <w:rPr>
            <w:noProof/>
            <w:webHidden/>
          </w:rPr>
          <w:tab/>
        </w:r>
        <w:r>
          <w:rPr>
            <w:noProof/>
            <w:webHidden/>
          </w:rPr>
          <w:fldChar w:fldCharType="begin"/>
        </w:r>
        <w:r>
          <w:rPr>
            <w:noProof/>
            <w:webHidden/>
          </w:rPr>
          <w:instrText xml:space="preserve"> PAGEREF _Toc418674105 \h </w:instrText>
        </w:r>
        <w:r>
          <w:rPr>
            <w:noProof/>
            <w:webHidden/>
          </w:rPr>
        </w:r>
        <w:r>
          <w:rPr>
            <w:noProof/>
            <w:webHidden/>
          </w:rPr>
          <w:fldChar w:fldCharType="separate"/>
        </w:r>
        <w:r>
          <w:rPr>
            <w:noProof/>
            <w:webHidden/>
          </w:rPr>
          <w:t>8</w:t>
        </w:r>
        <w:r>
          <w:rPr>
            <w:noProof/>
            <w:webHidden/>
          </w:rPr>
          <w:fldChar w:fldCharType="end"/>
        </w:r>
      </w:hyperlink>
    </w:p>
    <w:p w14:paraId="1191E507"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6" w:history="1">
        <w:r w:rsidRPr="0040450B">
          <w:rPr>
            <w:rStyle w:val="Hyperlink"/>
            <w:noProof/>
          </w:rPr>
          <w:t>Office Online</w:t>
        </w:r>
        <w:r>
          <w:rPr>
            <w:noProof/>
            <w:webHidden/>
          </w:rPr>
          <w:tab/>
        </w:r>
        <w:r>
          <w:rPr>
            <w:noProof/>
            <w:webHidden/>
          </w:rPr>
          <w:fldChar w:fldCharType="begin"/>
        </w:r>
        <w:r>
          <w:rPr>
            <w:noProof/>
            <w:webHidden/>
          </w:rPr>
          <w:instrText xml:space="preserve"> PAGEREF _Toc418674106 \h </w:instrText>
        </w:r>
        <w:r>
          <w:rPr>
            <w:noProof/>
            <w:webHidden/>
          </w:rPr>
        </w:r>
        <w:r>
          <w:rPr>
            <w:noProof/>
            <w:webHidden/>
          </w:rPr>
          <w:fldChar w:fldCharType="separate"/>
        </w:r>
        <w:r>
          <w:rPr>
            <w:noProof/>
            <w:webHidden/>
          </w:rPr>
          <w:t>8</w:t>
        </w:r>
        <w:r>
          <w:rPr>
            <w:noProof/>
            <w:webHidden/>
          </w:rPr>
          <w:fldChar w:fldCharType="end"/>
        </w:r>
      </w:hyperlink>
    </w:p>
    <w:p w14:paraId="250BF8E3"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7" w:history="1">
        <w:r w:rsidRPr="0040450B">
          <w:rPr>
            <w:rStyle w:val="Hyperlink"/>
            <w:noProof/>
          </w:rPr>
          <w:t>Wideo Office 365</w:t>
        </w:r>
        <w:r>
          <w:rPr>
            <w:noProof/>
            <w:webHidden/>
          </w:rPr>
          <w:tab/>
        </w:r>
        <w:r>
          <w:rPr>
            <w:noProof/>
            <w:webHidden/>
          </w:rPr>
          <w:fldChar w:fldCharType="begin"/>
        </w:r>
        <w:r>
          <w:rPr>
            <w:noProof/>
            <w:webHidden/>
          </w:rPr>
          <w:instrText xml:space="preserve"> PAGEREF _Toc418674107 \h </w:instrText>
        </w:r>
        <w:r>
          <w:rPr>
            <w:noProof/>
            <w:webHidden/>
          </w:rPr>
        </w:r>
        <w:r>
          <w:rPr>
            <w:noProof/>
            <w:webHidden/>
          </w:rPr>
          <w:fldChar w:fldCharType="separate"/>
        </w:r>
        <w:r>
          <w:rPr>
            <w:noProof/>
            <w:webHidden/>
          </w:rPr>
          <w:t>9</w:t>
        </w:r>
        <w:r>
          <w:rPr>
            <w:noProof/>
            <w:webHidden/>
          </w:rPr>
          <w:fldChar w:fldCharType="end"/>
        </w:r>
      </w:hyperlink>
    </w:p>
    <w:p w14:paraId="5757F0E8"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8" w:history="1">
        <w:r w:rsidRPr="0040450B">
          <w:rPr>
            <w:rStyle w:val="Hyperlink"/>
            <w:noProof/>
          </w:rPr>
          <w:t>OneDrive for Business</w:t>
        </w:r>
        <w:r>
          <w:rPr>
            <w:noProof/>
            <w:webHidden/>
          </w:rPr>
          <w:tab/>
        </w:r>
        <w:r>
          <w:rPr>
            <w:noProof/>
            <w:webHidden/>
          </w:rPr>
          <w:fldChar w:fldCharType="begin"/>
        </w:r>
        <w:r>
          <w:rPr>
            <w:noProof/>
            <w:webHidden/>
          </w:rPr>
          <w:instrText xml:space="preserve"> PAGEREF _Toc418674108 \h </w:instrText>
        </w:r>
        <w:r>
          <w:rPr>
            <w:noProof/>
            <w:webHidden/>
          </w:rPr>
        </w:r>
        <w:r>
          <w:rPr>
            <w:noProof/>
            <w:webHidden/>
          </w:rPr>
          <w:fldChar w:fldCharType="separate"/>
        </w:r>
        <w:r>
          <w:rPr>
            <w:noProof/>
            <w:webHidden/>
          </w:rPr>
          <w:t>9</w:t>
        </w:r>
        <w:r>
          <w:rPr>
            <w:noProof/>
            <w:webHidden/>
          </w:rPr>
          <w:fldChar w:fldCharType="end"/>
        </w:r>
      </w:hyperlink>
    </w:p>
    <w:p w14:paraId="63C1E951"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09" w:history="1">
        <w:r w:rsidRPr="0040450B">
          <w:rPr>
            <w:rStyle w:val="Hyperlink"/>
            <w:noProof/>
          </w:rPr>
          <w:t>Project Online</w:t>
        </w:r>
        <w:r>
          <w:rPr>
            <w:noProof/>
            <w:webHidden/>
          </w:rPr>
          <w:tab/>
        </w:r>
        <w:r>
          <w:rPr>
            <w:noProof/>
            <w:webHidden/>
          </w:rPr>
          <w:fldChar w:fldCharType="begin"/>
        </w:r>
        <w:r>
          <w:rPr>
            <w:noProof/>
            <w:webHidden/>
          </w:rPr>
          <w:instrText xml:space="preserve"> PAGEREF _Toc418674109 \h </w:instrText>
        </w:r>
        <w:r>
          <w:rPr>
            <w:noProof/>
            <w:webHidden/>
          </w:rPr>
        </w:r>
        <w:r>
          <w:rPr>
            <w:noProof/>
            <w:webHidden/>
          </w:rPr>
          <w:fldChar w:fldCharType="separate"/>
        </w:r>
        <w:r>
          <w:rPr>
            <w:noProof/>
            <w:webHidden/>
          </w:rPr>
          <w:t>9</w:t>
        </w:r>
        <w:r>
          <w:rPr>
            <w:noProof/>
            <w:webHidden/>
          </w:rPr>
          <w:fldChar w:fldCharType="end"/>
        </w:r>
      </w:hyperlink>
    </w:p>
    <w:p w14:paraId="2120BDFE"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10" w:history="1">
        <w:r w:rsidRPr="0040450B">
          <w:rPr>
            <w:rStyle w:val="Hyperlink"/>
            <w:noProof/>
          </w:rPr>
          <w:t>SharePoint Online</w:t>
        </w:r>
        <w:r>
          <w:rPr>
            <w:noProof/>
            <w:webHidden/>
          </w:rPr>
          <w:tab/>
        </w:r>
        <w:r>
          <w:rPr>
            <w:noProof/>
            <w:webHidden/>
          </w:rPr>
          <w:fldChar w:fldCharType="begin"/>
        </w:r>
        <w:r>
          <w:rPr>
            <w:noProof/>
            <w:webHidden/>
          </w:rPr>
          <w:instrText xml:space="preserve"> PAGEREF _Toc418674110 \h </w:instrText>
        </w:r>
        <w:r>
          <w:rPr>
            <w:noProof/>
            <w:webHidden/>
          </w:rPr>
        </w:r>
        <w:r>
          <w:rPr>
            <w:noProof/>
            <w:webHidden/>
          </w:rPr>
          <w:fldChar w:fldCharType="separate"/>
        </w:r>
        <w:r>
          <w:rPr>
            <w:noProof/>
            <w:webHidden/>
          </w:rPr>
          <w:t>10</w:t>
        </w:r>
        <w:r>
          <w:rPr>
            <w:noProof/>
            <w:webHidden/>
          </w:rPr>
          <w:fldChar w:fldCharType="end"/>
        </w:r>
      </w:hyperlink>
    </w:p>
    <w:p w14:paraId="00256C87"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11" w:history="1">
        <w:r w:rsidRPr="0040450B">
          <w:rPr>
            <w:rStyle w:val="Hyperlink"/>
            <w:noProof/>
          </w:rPr>
          <w:t>Skype for Business Online</w:t>
        </w:r>
        <w:r>
          <w:rPr>
            <w:noProof/>
            <w:webHidden/>
          </w:rPr>
          <w:tab/>
        </w:r>
        <w:r>
          <w:rPr>
            <w:noProof/>
            <w:webHidden/>
          </w:rPr>
          <w:fldChar w:fldCharType="begin"/>
        </w:r>
        <w:r>
          <w:rPr>
            <w:noProof/>
            <w:webHidden/>
          </w:rPr>
          <w:instrText xml:space="preserve"> PAGEREF _Toc418674111 \h </w:instrText>
        </w:r>
        <w:r>
          <w:rPr>
            <w:noProof/>
            <w:webHidden/>
          </w:rPr>
        </w:r>
        <w:r>
          <w:rPr>
            <w:noProof/>
            <w:webHidden/>
          </w:rPr>
          <w:fldChar w:fldCharType="separate"/>
        </w:r>
        <w:r>
          <w:rPr>
            <w:noProof/>
            <w:webHidden/>
          </w:rPr>
          <w:t>10</w:t>
        </w:r>
        <w:r>
          <w:rPr>
            <w:noProof/>
            <w:webHidden/>
          </w:rPr>
          <w:fldChar w:fldCharType="end"/>
        </w:r>
      </w:hyperlink>
    </w:p>
    <w:p w14:paraId="36C133D0"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12" w:history="1">
        <w:r w:rsidRPr="0040450B">
          <w:rPr>
            <w:rStyle w:val="Hyperlink"/>
            <w:noProof/>
          </w:rPr>
          <w:t>Yammer Enterprise</w:t>
        </w:r>
        <w:r>
          <w:rPr>
            <w:noProof/>
            <w:webHidden/>
          </w:rPr>
          <w:tab/>
        </w:r>
        <w:r>
          <w:rPr>
            <w:noProof/>
            <w:webHidden/>
          </w:rPr>
          <w:fldChar w:fldCharType="begin"/>
        </w:r>
        <w:r>
          <w:rPr>
            <w:noProof/>
            <w:webHidden/>
          </w:rPr>
          <w:instrText xml:space="preserve"> PAGEREF _Toc418674112 \h </w:instrText>
        </w:r>
        <w:r>
          <w:rPr>
            <w:noProof/>
            <w:webHidden/>
          </w:rPr>
        </w:r>
        <w:r>
          <w:rPr>
            <w:noProof/>
            <w:webHidden/>
          </w:rPr>
          <w:fldChar w:fldCharType="separate"/>
        </w:r>
        <w:r>
          <w:rPr>
            <w:noProof/>
            <w:webHidden/>
          </w:rPr>
          <w:t>11</w:t>
        </w:r>
        <w:r>
          <w:rPr>
            <w:noProof/>
            <w:webHidden/>
          </w:rPr>
          <w:fldChar w:fldCharType="end"/>
        </w:r>
      </w:hyperlink>
    </w:p>
    <w:p w14:paraId="2CED71F4" w14:textId="77777777" w:rsidR="00A45285" w:rsidRDefault="00A45285">
      <w:pPr>
        <w:pStyle w:val="TOC2"/>
        <w:tabs>
          <w:tab w:val="right" w:leader="dot" w:pos="5030"/>
        </w:tabs>
        <w:rPr>
          <w:rFonts w:eastAsiaTheme="minorEastAsia"/>
          <w:b w:val="0"/>
          <w:smallCaps w:val="0"/>
          <w:noProof/>
          <w:sz w:val="22"/>
          <w:lang w:val="en-US" w:eastAsia="en-US" w:bidi="ar-SA"/>
        </w:rPr>
      </w:pPr>
      <w:hyperlink w:anchor="_Toc418674113" w:history="1">
        <w:r w:rsidRPr="0040450B">
          <w:rPr>
            <w:rStyle w:val="Hyperlink"/>
            <w:noProof/>
          </w:rPr>
          <w:t>Usługi Enterprise Mobility</w:t>
        </w:r>
        <w:r>
          <w:rPr>
            <w:noProof/>
            <w:webHidden/>
          </w:rPr>
          <w:tab/>
        </w:r>
        <w:r>
          <w:rPr>
            <w:noProof/>
            <w:webHidden/>
          </w:rPr>
          <w:fldChar w:fldCharType="begin"/>
        </w:r>
        <w:r>
          <w:rPr>
            <w:noProof/>
            <w:webHidden/>
          </w:rPr>
          <w:instrText xml:space="preserve"> PAGEREF _Toc418674113 \h </w:instrText>
        </w:r>
        <w:r>
          <w:rPr>
            <w:noProof/>
            <w:webHidden/>
          </w:rPr>
        </w:r>
        <w:r>
          <w:rPr>
            <w:noProof/>
            <w:webHidden/>
          </w:rPr>
          <w:fldChar w:fldCharType="separate"/>
        </w:r>
        <w:r>
          <w:rPr>
            <w:noProof/>
            <w:webHidden/>
          </w:rPr>
          <w:t>11</w:t>
        </w:r>
        <w:r>
          <w:rPr>
            <w:noProof/>
            <w:webHidden/>
          </w:rPr>
          <w:fldChar w:fldCharType="end"/>
        </w:r>
      </w:hyperlink>
    </w:p>
    <w:p w14:paraId="2C397921"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14" w:history="1">
        <w:r w:rsidRPr="0040450B">
          <w:rPr>
            <w:rStyle w:val="Hyperlink"/>
            <w:noProof/>
          </w:rPr>
          <w:t>Azure Active Directory Basic</w:t>
        </w:r>
        <w:r>
          <w:rPr>
            <w:noProof/>
            <w:webHidden/>
          </w:rPr>
          <w:tab/>
        </w:r>
        <w:r>
          <w:rPr>
            <w:noProof/>
            <w:webHidden/>
          </w:rPr>
          <w:fldChar w:fldCharType="begin"/>
        </w:r>
        <w:r>
          <w:rPr>
            <w:noProof/>
            <w:webHidden/>
          </w:rPr>
          <w:instrText xml:space="preserve"> PAGEREF _Toc418674114 \h </w:instrText>
        </w:r>
        <w:r>
          <w:rPr>
            <w:noProof/>
            <w:webHidden/>
          </w:rPr>
        </w:r>
        <w:r>
          <w:rPr>
            <w:noProof/>
            <w:webHidden/>
          </w:rPr>
          <w:fldChar w:fldCharType="separate"/>
        </w:r>
        <w:r>
          <w:rPr>
            <w:noProof/>
            <w:webHidden/>
          </w:rPr>
          <w:t>11</w:t>
        </w:r>
        <w:r>
          <w:rPr>
            <w:noProof/>
            <w:webHidden/>
          </w:rPr>
          <w:fldChar w:fldCharType="end"/>
        </w:r>
      </w:hyperlink>
    </w:p>
    <w:p w14:paraId="33E8B883"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15" w:history="1">
        <w:r w:rsidRPr="0040450B">
          <w:rPr>
            <w:rStyle w:val="Hyperlink"/>
            <w:noProof/>
          </w:rPr>
          <w:t>Azure Active Directory Premium</w:t>
        </w:r>
        <w:r>
          <w:rPr>
            <w:noProof/>
            <w:webHidden/>
          </w:rPr>
          <w:tab/>
        </w:r>
        <w:r>
          <w:rPr>
            <w:noProof/>
            <w:webHidden/>
          </w:rPr>
          <w:fldChar w:fldCharType="begin"/>
        </w:r>
        <w:r>
          <w:rPr>
            <w:noProof/>
            <w:webHidden/>
          </w:rPr>
          <w:instrText xml:space="preserve"> PAGEREF _Toc418674115 \h </w:instrText>
        </w:r>
        <w:r>
          <w:rPr>
            <w:noProof/>
            <w:webHidden/>
          </w:rPr>
        </w:r>
        <w:r>
          <w:rPr>
            <w:noProof/>
            <w:webHidden/>
          </w:rPr>
          <w:fldChar w:fldCharType="separate"/>
        </w:r>
        <w:r>
          <w:rPr>
            <w:noProof/>
            <w:webHidden/>
          </w:rPr>
          <w:t>11</w:t>
        </w:r>
        <w:r>
          <w:rPr>
            <w:noProof/>
            <w:webHidden/>
          </w:rPr>
          <w:fldChar w:fldCharType="end"/>
        </w:r>
      </w:hyperlink>
    </w:p>
    <w:p w14:paraId="01FB450C"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16" w:history="1">
        <w:r w:rsidRPr="0040450B">
          <w:rPr>
            <w:rStyle w:val="Hyperlink"/>
            <w:noProof/>
          </w:rPr>
          <w:t>Azure Rights Management</w:t>
        </w:r>
        <w:r>
          <w:rPr>
            <w:noProof/>
            <w:webHidden/>
          </w:rPr>
          <w:tab/>
        </w:r>
        <w:r>
          <w:rPr>
            <w:noProof/>
            <w:webHidden/>
          </w:rPr>
          <w:fldChar w:fldCharType="begin"/>
        </w:r>
        <w:r>
          <w:rPr>
            <w:noProof/>
            <w:webHidden/>
          </w:rPr>
          <w:instrText xml:space="preserve"> PAGEREF _Toc418674116 \h </w:instrText>
        </w:r>
        <w:r>
          <w:rPr>
            <w:noProof/>
            <w:webHidden/>
          </w:rPr>
        </w:r>
        <w:r>
          <w:rPr>
            <w:noProof/>
            <w:webHidden/>
          </w:rPr>
          <w:fldChar w:fldCharType="separate"/>
        </w:r>
        <w:r>
          <w:rPr>
            <w:noProof/>
            <w:webHidden/>
          </w:rPr>
          <w:t>12</w:t>
        </w:r>
        <w:r>
          <w:rPr>
            <w:noProof/>
            <w:webHidden/>
          </w:rPr>
          <w:fldChar w:fldCharType="end"/>
        </w:r>
      </w:hyperlink>
    </w:p>
    <w:p w14:paraId="1F948D77"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17" w:history="1">
        <w:r w:rsidRPr="0040450B">
          <w:rPr>
            <w:rStyle w:val="Hyperlink"/>
            <w:noProof/>
          </w:rPr>
          <w:t>Microsoft Intune</w:t>
        </w:r>
        <w:r>
          <w:rPr>
            <w:noProof/>
            <w:webHidden/>
          </w:rPr>
          <w:tab/>
        </w:r>
        <w:r>
          <w:rPr>
            <w:noProof/>
            <w:webHidden/>
          </w:rPr>
          <w:fldChar w:fldCharType="begin"/>
        </w:r>
        <w:r>
          <w:rPr>
            <w:noProof/>
            <w:webHidden/>
          </w:rPr>
          <w:instrText xml:space="preserve"> PAGEREF _Toc418674117 \h </w:instrText>
        </w:r>
        <w:r>
          <w:rPr>
            <w:noProof/>
            <w:webHidden/>
          </w:rPr>
        </w:r>
        <w:r>
          <w:rPr>
            <w:noProof/>
            <w:webHidden/>
          </w:rPr>
          <w:fldChar w:fldCharType="separate"/>
        </w:r>
        <w:r>
          <w:rPr>
            <w:noProof/>
            <w:webHidden/>
          </w:rPr>
          <w:t>12</w:t>
        </w:r>
        <w:r>
          <w:rPr>
            <w:noProof/>
            <w:webHidden/>
          </w:rPr>
          <w:fldChar w:fldCharType="end"/>
        </w:r>
      </w:hyperlink>
    </w:p>
    <w:p w14:paraId="2103D93D" w14:textId="77777777" w:rsidR="00A45285" w:rsidRDefault="00A45285">
      <w:pPr>
        <w:pStyle w:val="TOC2"/>
        <w:tabs>
          <w:tab w:val="right" w:leader="dot" w:pos="5030"/>
        </w:tabs>
        <w:rPr>
          <w:rFonts w:eastAsiaTheme="minorEastAsia"/>
          <w:b w:val="0"/>
          <w:smallCaps w:val="0"/>
          <w:noProof/>
          <w:sz w:val="22"/>
          <w:lang w:val="en-US" w:eastAsia="en-US" w:bidi="ar-SA"/>
        </w:rPr>
      </w:pPr>
      <w:hyperlink w:anchor="_Toc418674118" w:history="1">
        <w:r w:rsidRPr="0040450B">
          <w:rPr>
            <w:rStyle w:val="Hyperlink"/>
            <w:noProof/>
          </w:rPr>
          <w:t>Usługi Microsoft Azure</w:t>
        </w:r>
        <w:r>
          <w:rPr>
            <w:noProof/>
            <w:webHidden/>
          </w:rPr>
          <w:tab/>
        </w:r>
        <w:r>
          <w:rPr>
            <w:noProof/>
            <w:webHidden/>
          </w:rPr>
          <w:fldChar w:fldCharType="begin"/>
        </w:r>
        <w:r>
          <w:rPr>
            <w:noProof/>
            <w:webHidden/>
          </w:rPr>
          <w:instrText xml:space="preserve"> PAGEREF _Toc418674118 \h </w:instrText>
        </w:r>
        <w:r>
          <w:rPr>
            <w:noProof/>
            <w:webHidden/>
          </w:rPr>
        </w:r>
        <w:r>
          <w:rPr>
            <w:noProof/>
            <w:webHidden/>
          </w:rPr>
          <w:fldChar w:fldCharType="separate"/>
        </w:r>
        <w:r>
          <w:rPr>
            <w:noProof/>
            <w:webHidden/>
          </w:rPr>
          <w:t>13</w:t>
        </w:r>
        <w:r>
          <w:rPr>
            <w:noProof/>
            <w:webHidden/>
          </w:rPr>
          <w:fldChar w:fldCharType="end"/>
        </w:r>
      </w:hyperlink>
    </w:p>
    <w:p w14:paraId="2BB1BCD2"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19" w:history="1">
        <w:r w:rsidRPr="0040450B">
          <w:rPr>
            <w:rStyle w:val="Hyperlink"/>
            <w:noProof/>
          </w:rPr>
          <w:t>Usługi Zarządzania Interfejsami API</w:t>
        </w:r>
        <w:r>
          <w:rPr>
            <w:noProof/>
            <w:webHidden/>
          </w:rPr>
          <w:tab/>
        </w:r>
        <w:r>
          <w:rPr>
            <w:noProof/>
            <w:webHidden/>
          </w:rPr>
          <w:fldChar w:fldCharType="begin"/>
        </w:r>
        <w:r>
          <w:rPr>
            <w:noProof/>
            <w:webHidden/>
          </w:rPr>
          <w:instrText xml:space="preserve"> PAGEREF _Toc418674119 \h </w:instrText>
        </w:r>
        <w:r>
          <w:rPr>
            <w:noProof/>
            <w:webHidden/>
          </w:rPr>
        </w:r>
        <w:r>
          <w:rPr>
            <w:noProof/>
            <w:webHidden/>
          </w:rPr>
          <w:fldChar w:fldCharType="separate"/>
        </w:r>
        <w:r>
          <w:rPr>
            <w:noProof/>
            <w:webHidden/>
          </w:rPr>
          <w:t>13</w:t>
        </w:r>
        <w:r>
          <w:rPr>
            <w:noProof/>
            <w:webHidden/>
          </w:rPr>
          <w:fldChar w:fldCharType="end"/>
        </w:r>
      </w:hyperlink>
    </w:p>
    <w:p w14:paraId="5CA59EF3"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0" w:history="1">
        <w:r w:rsidRPr="0040450B">
          <w:rPr>
            <w:rStyle w:val="Hyperlink"/>
            <w:noProof/>
          </w:rPr>
          <w:t>Usługa Automatyzacji</w:t>
        </w:r>
        <w:r>
          <w:rPr>
            <w:noProof/>
            <w:webHidden/>
          </w:rPr>
          <w:tab/>
        </w:r>
        <w:r>
          <w:rPr>
            <w:noProof/>
            <w:webHidden/>
          </w:rPr>
          <w:fldChar w:fldCharType="begin"/>
        </w:r>
        <w:r>
          <w:rPr>
            <w:noProof/>
            <w:webHidden/>
          </w:rPr>
          <w:instrText xml:space="preserve"> PAGEREF _Toc418674120 \h </w:instrText>
        </w:r>
        <w:r>
          <w:rPr>
            <w:noProof/>
            <w:webHidden/>
          </w:rPr>
        </w:r>
        <w:r>
          <w:rPr>
            <w:noProof/>
            <w:webHidden/>
          </w:rPr>
          <w:fldChar w:fldCharType="separate"/>
        </w:r>
        <w:r>
          <w:rPr>
            <w:noProof/>
            <w:webHidden/>
          </w:rPr>
          <w:t>13</w:t>
        </w:r>
        <w:r>
          <w:rPr>
            <w:noProof/>
            <w:webHidden/>
          </w:rPr>
          <w:fldChar w:fldCharType="end"/>
        </w:r>
      </w:hyperlink>
    </w:p>
    <w:p w14:paraId="58CFC83D"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1" w:history="1">
        <w:r w:rsidRPr="0040450B">
          <w:rPr>
            <w:rStyle w:val="Hyperlink"/>
            <w:noProof/>
          </w:rPr>
          <w:t>Usługa Kopii Zapasowych</w:t>
        </w:r>
        <w:r>
          <w:rPr>
            <w:noProof/>
            <w:webHidden/>
          </w:rPr>
          <w:tab/>
        </w:r>
        <w:r>
          <w:rPr>
            <w:noProof/>
            <w:webHidden/>
          </w:rPr>
          <w:fldChar w:fldCharType="begin"/>
        </w:r>
        <w:r>
          <w:rPr>
            <w:noProof/>
            <w:webHidden/>
          </w:rPr>
          <w:instrText xml:space="preserve"> PAGEREF _Toc418674121 \h </w:instrText>
        </w:r>
        <w:r>
          <w:rPr>
            <w:noProof/>
            <w:webHidden/>
          </w:rPr>
        </w:r>
        <w:r>
          <w:rPr>
            <w:noProof/>
            <w:webHidden/>
          </w:rPr>
          <w:fldChar w:fldCharType="separate"/>
        </w:r>
        <w:r>
          <w:rPr>
            <w:noProof/>
            <w:webHidden/>
          </w:rPr>
          <w:t>14</w:t>
        </w:r>
        <w:r>
          <w:rPr>
            <w:noProof/>
            <w:webHidden/>
          </w:rPr>
          <w:fldChar w:fldCharType="end"/>
        </w:r>
      </w:hyperlink>
    </w:p>
    <w:p w14:paraId="36419E95"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2" w:history="1">
        <w:r w:rsidRPr="0040450B">
          <w:rPr>
            <w:rStyle w:val="Hyperlink"/>
            <w:noProof/>
          </w:rPr>
          <w:t>Usługi BizTalk</w:t>
        </w:r>
        <w:r>
          <w:rPr>
            <w:noProof/>
            <w:webHidden/>
          </w:rPr>
          <w:tab/>
        </w:r>
        <w:r>
          <w:rPr>
            <w:noProof/>
            <w:webHidden/>
          </w:rPr>
          <w:fldChar w:fldCharType="begin"/>
        </w:r>
        <w:r>
          <w:rPr>
            <w:noProof/>
            <w:webHidden/>
          </w:rPr>
          <w:instrText xml:space="preserve"> PAGEREF _Toc418674122 \h </w:instrText>
        </w:r>
        <w:r>
          <w:rPr>
            <w:noProof/>
            <w:webHidden/>
          </w:rPr>
        </w:r>
        <w:r>
          <w:rPr>
            <w:noProof/>
            <w:webHidden/>
          </w:rPr>
          <w:fldChar w:fldCharType="separate"/>
        </w:r>
        <w:r>
          <w:rPr>
            <w:noProof/>
            <w:webHidden/>
          </w:rPr>
          <w:t>14</w:t>
        </w:r>
        <w:r>
          <w:rPr>
            <w:noProof/>
            <w:webHidden/>
          </w:rPr>
          <w:fldChar w:fldCharType="end"/>
        </w:r>
      </w:hyperlink>
    </w:p>
    <w:p w14:paraId="0E6D8C7A"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3" w:history="1">
        <w:r w:rsidRPr="0040450B">
          <w:rPr>
            <w:rStyle w:val="Hyperlink"/>
            <w:noProof/>
          </w:rPr>
          <w:t>Usługi Pamięci Podręcznej</w:t>
        </w:r>
        <w:r>
          <w:rPr>
            <w:noProof/>
            <w:webHidden/>
          </w:rPr>
          <w:tab/>
        </w:r>
        <w:r>
          <w:rPr>
            <w:noProof/>
            <w:webHidden/>
          </w:rPr>
          <w:fldChar w:fldCharType="begin"/>
        </w:r>
        <w:r>
          <w:rPr>
            <w:noProof/>
            <w:webHidden/>
          </w:rPr>
          <w:instrText xml:space="preserve"> PAGEREF _Toc418674123 \h </w:instrText>
        </w:r>
        <w:r>
          <w:rPr>
            <w:noProof/>
            <w:webHidden/>
          </w:rPr>
        </w:r>
        <w:r>
          <w:rPr>
            <w:noProof/>
            <w:webHidden/>
          </w:rPr>
          <w:fldChar w:fldCharType="separate"/>
        </w:r>
        <w:r>
          <w:rPr>
            <w:noProof/>
            <w:webHidden/>
          </w:rPr>
          <w:t>15</w:t>
        </w:r>
        <w:r>
          <w:rPr>
            <w:noProof/>
            <w:webHidden/>
          </w:rPr>
          <w:fldChar w:fldCharType="end"/>
        </w:r>
      </w:hyperlink>
    </w:p>
    <w:p w14:paraId="1BB2EFB3"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4" w:history="1">
        <w:r w:rsidRPr="0040450B">
          <w:rPr>
            <w:rStyle w:val="Hyperlink"/>
            <w:noProof/>
          </w:rPr>
          <w:t>Usługa CDN</w:t>
        </w:r>
        <w:r>
          <w:rPr>
            <w:noProof/>
            <w:webHidden/>
          </w:rPr>
          <w:tab/>
        </w:r>
        <w:r>
          <w:rPr>
            <w:noProof/>
            <w:webHidden/>
          </w:rPr>
          <w:fldChar w:fldCharType="begin"/>
        </w:r>
        <w:r>
          <w:rPr>
            <w:noProof/>
            <w:webHidden/>
          </w:rPr>
          <w:instrText xml:space="preserve"> PAGEREF _Toc418674124 \h </w:instrText>
        </w:r>
        <w:r>
          <w:rPr>
            <w:noProof/>
            <w:webHidden/>
          </w:rPr>
        </w:r>
        <w:r>
          <w:rPr>
            <w:noProof/>
            <w:webHidden/>
          </w:rPr>
          <w:fldChar w:fldCharType="separate"/>
        </w:r>
        <w:r>
          <w:rPr>
            <w:noProof/>
            <w:webHidden/>
          </w:rPr>
          <w:t>15</w:t>
        </w:r>
        <w:r>
          <w:rPr>
            <w:noProof/>
            <w:webHidden/>
          </w:rPr>
          <w:fldChar w:fldCharType="end"/>
        </w:r>
      </w:hyperlink>
    </w:p>
    <w:p w14:paraId="3AA27587"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5" w:history="1">
        <w:r w:rsidRPr="0040450B">
          <w:rPr>
            <w:rStyle w:val="Hyperlink"/>
            <w:noProof/>
          </w:rPr>
          <w:t>Usługi Cloud</w:t>
        </w:r>
        <w:r>
          <w:rPr>
            <w:noProof/>
            <w:webHidden/>
          </w:rPr>
          <w:tab/>
        </w:r>
        <w:r>
          <w:rPr>
            <w:noProof/>
            <w:webHidden/>
          </w:rPr>
          <w:fldChar w:fldCharType="begin"/>
        </w:r>
        <w:r>
          <w:rPr>
            <w:noProof/>
            <w:webHidden/>
          </w:rPr>
          <w:instrText xml:space="preserve"> PAGEREF _Toc418674125 \h </w:instrText>
        </w:r>
        <w:r>
          <w:rPr>
            <w:noProof/>
            <w:webHidden/>
          </w:rPr>
        </w:r>
        <w:r>
          <w:rPr>
            <w:noProof/>
            <w:webHidden/>
          </w:rPr>
          <w:fldChar w:fldCharType="separate"/>
        </w:r>
        <w:r>
          <w:rPr>
            <w:noProof/>
            <w:webHidden/>
          </w:rPr>
          <w:t>16</w:t>
        </w:r>
        <w:r>
          <w:rPr>
            <w:noProof/>
            <w:webHidden/>
          </w:rPr>
          <w:fldChar w:fldCharType="end"/>
        </w:r>
      </w:hyperlink>
    </w:p>
    <w:p w14:paraId="05838B2C"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6" w:history="1">
        <w:r w:rsidRPr="0040450B">
          <w:rPr>
            <w:rStyle w:val="Hyperlink"/>
            <w:noProof/>
          </w:rPr>
          <w:t>DocumentDB</w:t>
        </w:r>
        <w:r>
          <w:rPr>
            <w:noProof/>
            <w:webHidden/>
          </w:rPr>
          <w:tab/>
        </w:r>
        <w:r>
          <w:rPr>
            <w:noProof/>
            <w:webHidden/>
          </w:rPr>
          <w:fldChar w:fldCharType="begin"/>
        </w:r>
        <w:r>
          <w:rPr>
            <w:noProof/>
            <w:webHidden/>
          </w:rPr>
          <w:instrText xml:space="preserve"> PAGEREF _Toc418674126 \h </w:instrText>
        </w:r>
        <w:r>
          <w:rPr>
            <w:noProof/>
            <w:webHidden/>
          </w:rPr>
        </w:r>
        <w:r>
          <w:rPr>
            <w:noProof/>
            <w:webHidden/>
          </w:rPr>
          <w:fldChar w:fldCharType="separate"/>
        </w:r>
        <w:r>
          <w:rPr>
            <w:noProof/>
            <w:webHidden/>
          </w:rPr>
          <w:t>16</w:t>
        </w:r>
        <w:r>
          <w:rPr>
            <w:noProof/>
            <w:webHidden/>
          </w:rPr>
          <w:fldChar w:fldCharType="end"/>
        </w:r>
      </w:hyperlink>
    </w:p>
    <w:p w14:paraId="227EC345"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7" w:history="1">
        <w:r w:rsidRPr="0040450B">
          <w:rPr>
            <w:rStyle w:val="Hyperlink"/>
            <w:noProof/>
          </w:rPr>
          <w:t>ExpressRoute</w:t>
        </w:r>
        <w:r>
          <w:rPr>
            <w:noProof/>
            <w:webHidden/>
          </w:rPr>
          <w:tab/>
        </w:r>
        <w:r>
          <w:rPr>
            <w:noProof/>
            <w:webHidden/>
          </w:rPr>
          <w:fldChar w:fldCharType="begin"/>
        </w:r>
        <w:r>
          <w:rPr>
            <w:noProof/>
            <w:webHidden/>
          </w:rPr>
          <w:instrText xml:space="preserve"> PAGEREF _Toc418674127 \h </w:instrText>
        </w:r>
        <w:r>
          <w:rPr>
            <w:noProof/>
            <w:webHidden/>
          </w:rPr>
        </w:r>
        <w:r>
          <w:rPr>
            <w:noProof/>
            <w:webHidden/>
          </w:rPr>
          <w:fldChar w:fldCharType="separate"/>
        </w:r>
        <w:r>
          <w:rPr>
            <w:noProof/>
            <w:webHidden/>
          </w:rPr>
          <w:t>17</w:t>
        </w:r>
        <w:r>
          <w:rPr>
            <w:noProof/>
            <w:webHidden/>
          </w:rPr>
          <w:fldChar w:fldCharType="end"/>
        </w:r>
      </w:hyperlink>
    </w:p>
    <w:p w14:paraId="7415EEF4"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8" w:history="1">
        <w:r w:rsidRPr="0040450B">
          <w:rPr>
            <w:rStyle w:val="Hyperlink"/>
            <w:noProof/>
          </w:rPr>
          <w:t>HDInsight</w:t>
        </w:r>
        <w:r>
          <w:rPr>
            <w:noProof/>
            <w:webHidden/>
          </w:rPr>
          <w:tab/>
        </w:r>
        <w:r>
          <w:rPr>
            <w:noProof/>
            <w:webHidden/>
          </w:rPr>
          <w:fldChar w:fldCharType="begin"/>
        </w:r>
        <w:r>
          <w:rPr>
            <w:noProof/>
            <w:webHidden/>
          </w:rPr>
          <w:instrText xml:space="preserve"> PAGEREF _Toc418674128 \h </w:instrText>
        </w:r>
        <w:r>
          <w:rPr>
            <w:noProof/>
            <w:webHidden/>
          </w:rPr>
        </w:r>
        <w:r>
          <w:rPr>
            <w:noProof/>
            <w:webHidden/>
          </w:rPr>
          <w:fldChar w:fldCharType="separate"/>
        </w:r>
        <w:r>
          <w:rPr>
            <w:noProof/>
            <w:webHidden/>
          </w:rPr>
          <w:t>17</w:t>
        </w:r>
        <w:r>
          <w:rPr>
            <w:noProof/>
            <w:webHidden/>
          </w:rPr>
          <w:fldChar w:fldCharType="end"/>
        </w:r>
      </w:hyperlink>
    </w:p>
    <w:p w14:paraId="087CEC06"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29" w:history="1">
        <w:r w:rsidRPr="0040450B">
          <w:rPr>
            <w:rStyle w:val="Hyperlink"/>
            <w:noProof/>
          </w:rPr>
          <w:t>Uczenie Maszynowe – Usługa Wykonywania Wsadowego (BES) i Usługa Zarządzania Interfejsami API</w:t>
        </w:r>
        <w:r>
          <w:rPr>
            <w:noProof/>
            <w:webHidden/>
          </w:rPr>
          <w:tab/>
        </w:r>
        <w:r>
          <w:rPr>
            <w:noProof/>
            <w:webHidden/>
          </w:rPr>
          <w:fldChar w:fldCharType="begin"/>
        </w:r>
        <w:r>
          <w:rPr>
            <w:noProof/>
            <w:webHidden/>
          </w:rPr>
          <w:instrText xml:space="preserve"> PAGEREF _Toc418674129 \h </w:instrText>
        </w:r>
        <w:r>
          <w:rPr>
            <w:noProof/>
            <w:webHidden/>
          </w:rPr>
        </w:r>
        <w:r>
          <w:rPr>
            <w:noProof/>
            <w:webHidden/>
          </w:rPr>
          <w:fldChar w:fldCharType="separate"/>
        </w:r>
        <w:r>
          <w:rPr>
            <w:noProof/>
            <w:webHidden/>
          </w:rPr>
          <w:t>18</w:t>
        </w:r>
        <w:r>
          <w:rPr>
            <w:noProof/>
            <w:webHidden/>
          </w:rPr>
          <w:fldChar w:fldCharType="end"/>
        </w:r>
      </w:hyperlink>
    </w:p>
    <w:p w14:paraId="3B774C84"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0" w:history="1">
        <w:r w:rsidRPr="0040450B">
          <w:rPr>
            <w:rStyle w:val="Hyperlink"/>
            <w:noProof/>
          </w:rPr>
          <w:t>Uczenie Maszynowe – Usługa Odpowiedzi na Żądanie (RRS)</w:t>
        </w:r>
        <w:r>
          <w:rPr>
            <w:noProof/>
            <w:webHidden/>
          </w:rPr>
          <w:tab/>
        </w:r>
        <w:r>
          <w:rPr>
            <w:noProof/>
            <w:webHidden/>
          </w:rPr>
          <w:fldChar w:fldCharType="begin"/>
        </w:r>
        <w:r>
          <w:rPr>
            <w:noProof/>
            <w:webHidden/>
          </w:rPr>
          <w:instrText xml:space="preserve"> PAGEREF _Toc418674130 \h </w:instrText>
        </w:r>
        <w:r>
          <w:rPr>
            <w:noProof/>
            <w:webHidden/>
          </w:rPr>
        </w:r>
        <w:r>
          <w:rPr>
            <w:noProof/>
            <w:webHidden/>
          </w:rPr>
          <w:fldChar w:fldCharType="separate"/>
        </w:r>
        <w:r>
          <w:rPr>
            <w:noProof/>
            <w:webHidden/>
          </w:rPr>
          <w:t>18</w:t>
        </w:r>
        <w:r>
          <w:rPr>
            <w:noProof/>
            <w:webHidden/>
          </w:rPr>
          <w:fldChar w:fldCharType="end"/>
        </w:r>
      </w:hyperlink>
    </w:p>
    <w:p w14:paraId="6ABF2F7B"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1" w:history="1">
        <w:r w:rsidRPr="0040450B">
          <w:rPr>
            <w:rStyle w:val="Hyperlink"/>
            <w:noProof/>
          </w:rPr>
          <w:t>Usługi Multimedialne – Usługa Kodowania</w:t>
        </w:r>
        <w:r>
          <w:rPr>
            <w:noProof/>
            <w:webHidden/>
          </w:rPr>
          <w:tab/>
        </w:r>
        <w:r>
          <w:rPr>
            <w:noProof/>
            <w:webHidden/>
          </w:rPr>
          <w:fldChar w:fldCharType="begin"/>
        </w:r>
        <w:r>
          <w:rPr>
            <w:noProof/>
            <w:webHidden/>
          </w:rPr>
          <w:instrText xml:space="preserve"> PAGEREF _Toc418674131 \h </w:instrText>
        </w:r>
        <w:r>
          <w:rPr>
            <w:noProof/>
            <w:webHidden/>
          </w:rPr>
        </w:r>
        <w:r>
          <w:rPr>
            <w:noProof/>
            <w:webHidden/>
          </w:rPr>
          <w:fldChar w:fldCharType="separate"/>
        </w:r>
        <w:r>
          <w:rPr>
            <w:noProof/>
            <w:webHidden/>
          </w:rPr>
          <w:t>19</w:t>
        </w:r>
        <w:r>
          <w:rPr>
            <w:noProof/>
            <w:webHidden/>
          </w:rPr>
          <w:fldChar w:fldCharType="end"/>
        </w:r>
      </w:hyperlink>
    </w:p>
    <w:p w14:paraId="438D5F1F"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2" w:history="1">
        <w:r w:rsidRPr="0040450B">
          <w:rPr>
            <w:rStyle w:val="Hyperlink"/>
            <w:noProof/>
          </w:rPr>
          <w:t>Usługi Multimedialne – Usługa Indeksowania</w:t>
        </w:r>
        <w:r>
          <w:rPr>
            <w:noProof/>
            <w:webHidden/>
          </w:rPr>
          <w:tab/>
        </w:r>
        <w:r>
          <w:rPr>
            <w:noProof/>
            <w:webHidden/>
          </w:rPr>
          <w:fldChar w:fldCharType="begin"/>
        </w:r>
        <w:r>
          <w:rPr>
            <w:noProof/>
            <w:webHidden/>
          </w:rPr>
          <w:instrText xml:space="preserve"> PAGEREF _Toc418674132 \h </w:instrText>
        </w:r>
        <w:r>
          <w:rPr>
            <w:noProof/>
            <w:webHidden/>
          </w:rPr>
        </w:r>
        <w:r>
          <w:rPr>
            <w:noProof/>
            <w:webHidden/>
          </w:rPr>
          <w:fldChar w:fldCharType="separate"/>
        </w:r>
        <w:r>
          <w:rPr>
            <w:noProof/>
            <w:webHidden/>
          </w:rPr>
          <w:t>19</w:t>
        </w:r>
        <w:r>
          <w:rPr>
            <w:noProof/>
            <w:webHidden/>
          </w:rPr>
          <w:fldChar w:fldCharType="end"/>
        </w:r>
      </w:hyperlink>
    </w:p>
    <w:p w14:paraId="2186EF25"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3" w:history="1">
        <w:r w:rsidRPr="0040450B">
          <w:rPr>
            <w:rStyle w:val="Hyperlink"/>
            <w:noProof/>
          </w:rPr>
          <w:t>Usługi Multimedialne — Kanały na Żywo</w:t>
        </w:r>
        <w:r>
          <w:rPr>
            <w:noProof/>
            <w:webHidden/>
          </w:rPr>
          <w:tab/>
        </w:r>
        <w:r>
          <w:rPr>
            <w:noProof/>
            <w:webHidden/>
          </w:rPr>
          <w:fldChar w:fldCharType="begin"/>
        </w:r>
        <w:r>
          <w:rPr>
            <w:noProof/>
            <w:webHidden/>
          </w:rPr>
          <w:instrText xml:space="preserve"> PAGEREF _Toc418674133 \h </w:instrText>
        </w:r>
        <w:r>
          <w:rPr>
            <w:noProof/>
            <w:webHidden/>
          </w:rPr>
        </w:r>
        <w:r>
          <w:rPr>
            <w:noProof/>
            <w:webHidden/>
          </w:rPr>
          <w:fldChar w:fldCharType="separate"/>
        </w:r>
        <w:r>
          <w:rPr>
            <w:noProof/>
            <w:webHidden/>
          </w:rPr>
          <w:t>19</w:t>
        </w:r>
        <w:r>
          <w:rPr>
            <w:noProof/>
            <w:webHidden/>
          </w:rPr>
          <w:fldChar w:fldCharType="end"/>
        </w:r>
      </w:hyperlink>
    </w:p>
    <w:p w14:paraId="509131D6"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4" w:history="1">
        <w:r w:rsidRPr="0040450B">
          <w:rPr>
            <w:rStyle w:val="Hyperlink"/>
            <w:noProof/>
          </w:rPr>
          <w:t>Usługi Multimedialne – Usługa Strumieniowania</w:t>
        </w:r>
        <w:r>
          <w:rPr>
            <w:noProof/>
            <w:webHidden/>
          </w:rPr>
          <w:tab/>
        </w:r>
        <w:r>
          <w:rPr>
            <w:noProof/>
            <w:webHidden/>
          </w:rPr>
          <w:fldChar w:fldCharType="begin"/>
        </w:r>
        <w:r>
          <w:rPr>
            <w:noProof/>
            <w:webHidden/>
          </w:rPr>
          <w:instrText xml:space="preserve"> PAGEREF _Toc418674134 \h </w:instrText>
        </w:r>
        <w:r>
          <w:rPr>
            <w:noProof/>
            <w:webHidden/>
          </w:rPr>
        </w:r>
        <w:r>
          <w:rPr>
            <w:noProof/>
            <w:webHidden/>
          </w:rPr>
          <w:fldChar w:fldCharType="separate"/>
        </w:r>
        <w:r>
          <w:rPr>
            <w:noProof/>
            <w:webHidden/>
          </w:rPr>
          <w:t>20</w:t>
        </w:r>
        <w:r>
          <w:rPr>
            <w:noProof/>
            <w:webHidden/>
          </w:rPr>
          <w:fldChar w:fldCharType="end"/>
        </w:r>
      </w:hyperlink>
    </w:p>
    <w:p w14:paraId="6D31BEF3"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5" w:history="1">
        <w:r w:rsidRPr="0040450B">
          <w:rPr>
            <w:rStyle w:val="Hyperlink"/>
            <w:noProof/>
          </w:rPr>
          <w:t>Usługi Multimedialne – Usługa Ochrony Treści</w:t>
        </w:r>
        <w:r>
          <w:rPr>
            <w:noProof/>
            <w:webHidden/>
          </w:rPr>
          <w:tab/>
        </w:r>
        <w:r>
          <w:rPr>
            <w:noProof/>
            <w:webHidden/>
          </w:rPr>
          <w:fldChar w:fldCharType="begin"/>
        </w:r>
        <w:r>
          <w:rPr>
            <w:noProof/>
            <w:webHidden/>
          </w:rPr>
          <w:instrText xml:space="preserve"> PAGEREF _Toc418674135 \h </w:instrText>
        </w:r>
        <w:r>
          <w:rPr>
            <w:noProof/>
            <w:webHidden/>
          </w:rPr>
        </w:r>
        <w:r>
          <w:rPr>
            <w:noProof/>
            <w:webHidden/>
          </w:rPr>
          <w:fldChar w:fldCharType="separate"/>
        </w:r>
        <w:r>
          <w:rPr>
            <w:noProof/>
            <w:webHidden/>
          </w:rPr>
          <w:t>20</w:t>
        </w:r>
        <w:r>
          <w:rPr>
            <w:noProof/>
            <w:webHidden/>
          </w:rPr>
          <w:fldChar w:fldCharType="end"/>
        </w:r>
      </w:hyperlink>
    </w:p>
    <w:p w14:paraId="287752CF"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6" w:history="1">
        <w:r w:rsidRPr="0040450B">
          <w:rPr>
            <w:rStyle w:val="Hyperlink"/>
            <w:noProof/>
          </w:rPr>
          <w:t>Usługi Mobilne</w:t>
        </w:r>
        <w:r>
          <w:rPr>
            <w:noProof/>
            <w:webHidden/>
          </w:rPr>
          <w:tab/>
        </w:r>
        <w:r>
          <w:rPr>
            <w:noProof/>
            <w:webHidden/>
          </w:rPr>
          <w:fldChar w:fldCharType="begin"/>
        </w:r>
        <w:r>
          <w:rPr>
            <w:noProof/>
            <w:webHidden/>
          </w:rPr>
          <w:instrText xml:space="preserve"> PAGEREF _Toc418674136 \h </w:instrText>
        </w:r>
        <w:r>
          <w:rPr>
            <w:noProof/>
            <w:webHidden/>
          </w:rPr>
        </w:r>
        <w:r>
          <w:rPr>
            <w:noProof/>
            <w:webHidden/>
          </w:rPr>
          <w:fldChar w:fldCharType="separate"/>
        </w:r>
        <w:r>
          <w:rPr>
            <w:noProof/>
            <w:webHidden/>
          </w:rPr>
          <w:t>21</w:t>
        </w:r>
        <w:r>
          <w:rPr>
            <w:noProof/>
            <w:webHidden/>
          </w:rPr>
          <w:fldChar w:fldCharType="end"/>
        </w:r>
      </w:hyperlink>
    </w:p>
    <w:p w14:paraId="04B0A3A6"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7" w:history="1">
        <w:r w:rsidRPr="0040450B">
          <w:rPr>
            <w:rStyle w:val="Hyperlink"/>
            <w:noProof/>
          </w:rPr>
          <w:t>Usługa Multi-Factor Authentication</w:t>
        </w:r>
        <w:r>
          <w:rPr>
            <w:noProof/>
            <w:webHidden/>
          </w:rPr>
          <w:tab/>
        </w:r>
        <w:r>
          <w:rPr>
            <w:noProof/>
            <w:webHidden/>
          </w:rPr>
          <w:fldChar w:fldCharType="begin"/>
        </w:r>
        <w:r>
          <w:rPr>
            <w:noProof/>
            <w:webHidden/>
          </w:rPr>
          <w:instrText xml:space="preserve"> PAGEREF _Toc418674137 \h </w:instrText>
        </w:r>
        <w:r>
          <w:rPr>
            <w:noProof/>
            <w:webHidden/>
          </w:rPr>
        </w:r>
        <w:r>
          <w:rPr>
            <w:noProof/>
            <w:webHidden/>
          </w:rPr>
          <w:fldChar w:fldCharType="separate"/>
        </w:r>
        <w:r>
          <w:rPr>
            <w:noProof/>
            <w:webHidden/>
          </w:rPr>
          <w:t>21</w:t>
        </w:r>
        <w:r>
          <w:rPr>
            <w:noProof/>
            <w:webHidden/>
          </w:rPr>
          <w:fldChar w:fldCharType="end"/>
        </w:r>
      </w:hyperlink>
    </w:p>
    <w:p w14:paraId="0782BF9F"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8" w:history="1">
        <w:r w:rsidRPr="0040450B">
          <w:rPr>
            <w:rStyle w:val="Hyperlink"/>
            <w:noProof/>
          </w:rPr>
          <w:t>Wgląd w Dane Operacyjne</w:t>
        </w:r>
        <w:r>
          <w:rPr>
            <w:noProof/>
            <w:webHidden/>
          </w:rPr>
          <w:tab/>
        </w:r>
        <w:r>
          <w:rPr>
            <w:noProof/>
            <w:webHidden/>
          </w:rPr>
          <w:fldChar w:fldCharType="begin"/>
        </w:r>
        <w:r>
          <w:rPr>
            <w:noProof/>
            <w:webHidden/>
          </w:rPr>
          <w:instrText xml:space="preserve"> PAGEREF _Toc418674138 \h </w:instrText>
        </w:r>
        <w:r>
          <w:rPr>
            <w:noProof/>
            <w:webHidden/>
          </w:rPr>
        </w:r>
        <w:r>
          <w:rPr>
            <w:noProof/>
            <w:webHidden/>
          </w:rPr>
          <w:fldChar w:fldCharType="separate"/>
        </w:r>
        <w:r>
          <w:rPr>
            <w:noProof/>
            <w:webHidden/>
          </w:rPr>
          <w:t>22</w:t>
        </w:r>
        <w:r>
          <w:rPr>
            <w:noProof/>
            <w:webHidden/>
          </w:rPr>
          <w:fldChar w:fldCharType="end"/>
        </w:r>
      </w:hyperlink>
    </w:p>
    <w:p w14:paraId="3DFDDF99"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39" w:history="1">
        <w:r w:rsidRPr="0040450B">
          <w:rPr>
            <w:rStyle w:val="Hyperlink"/>
            <w:noProof/>
          </w:rPr>
          <w:t>RemoteApp</w:t>
        </w:r>
        <w:r>
          <w:rPr>
            <w:noProof/>
            <w:webHidden/>
          </w:rPr>
          <w:tab/>
        </w:r>
        <w:r>
          <w:rPr>
            <w:noProof/>
            <w:webHidden/>
          </w:rPr>
          <w:fldChar w:fldCharType="begin"/>
        </w:r>
        <w:r>
          <w:rPr>
            <w:noProof/>
            <w:webHidden/>
          </w:rPr>
          <w:instrText xml:space="preserve"> PAGEREF _Toc418674139 \h </w:instrText>
        </w:r>
        <w:r>
          <w:rPr>
            <w:noProof/>
            <w:webHidden/>
          </w:rPr>
        </w:r>
        <w:r>
          <w:rPr>
            <w:noProof/>
            <w:webHidden/>
          </w:rPr>
          <w:fldChar w:fldCharType="separate"/>
        </w:r>
        <w:r>
          <w:rPr>
            <w:noProof/>
            <w:webHidden/>
          </w:rPr>
          <w:t>22</w:t>
        </w:r>
        <w:r>
          <w:rPr>
            <w:noProof/>
            <w:webHidden/>
          </w:rPr>
          <w:fldChar w:fldCharType="end"/>
        </w:r>
      </w:hyperlink>
    </w:p>
    <w:p w14:paraId="4F77CA32"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0" w:history="1">
        <w:r w:rsidRPr="0040450B">
          <w:rPr>
            <w:rStyle w:val="Hyperlink"/>
            <w:noProof/>
          </w:rPr>
          <w:t>Scheduler</w:t>
        </w:r>
        <w:r>
          <w:rPr>
            <w:noProof/>
            <w:webHidden/>
          </w:rPr>
          <w:tab/>
        </w:r>
        <w:r>
          <w:rPr>
            <w:noProof/>
            <w:webHidden/>
          </w:rPr>
          <w:fldChar w:fldCharType="begin"/>
        </w:r>
        <w:r>
          <w:rPr>
            <w:noProof/>
            <w:webHidden/>
          </w:rPr>
          <w:instrText xml:space="preserve"> PAGEREF _Toc418674140 \h </w:instrText>
        </w:r>
        <w:r>
          <w:rPr>
            <w:noProof/>
            <w:webHidden/>
          </w:rPr>
        </w:r>
        <w:r>
          <w:rPr>
            <w:noProof/>
            <w:webHidden/>
          </w:rPr>
          <w:fldChar w:fldCharType="separate"/>
        </w:r>
        <w:r>
          <w:rPr>
            <w:noProof/>
            <w:webHidden/>
          </w:rPr>
          <w:t>23</w:t>
        </w:r>
        <w:r>
          <w:rPr>
            <w:noProof/>
            <w:webHidden/>
          </w:rPr>
          <w:fldChar w:fldCharType="end"/>
        </w:r>
      </w:hyperlink>
    </w:p>
    <w:p w14:paraId="4194C34B"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1" w:history="1">
        <w:r w:rsidRPr="0040450B">
          <w:rPr>
            <w:rStyle w:val="Hyperlink"/>
            <w:noProof/>
          </w:rPr>
          <w:t>Szukaj</w:t>
        </w:r>
        <w:r>
          <w:rPr>
            <w:noProof/>
            <w:webHidden/>
          </w:rPr>
          <w:tab/>
        </w:r>
        <w:r>
          <w:rPr>
            <w:noProof/>
            <w:webHidden/>
          </w:rPr>
          <w:fldChar w:fldCharType="begin"/>
        </w:r>
        <w:r>
          <w:rPr>
            <w:noProof/>
            <w:webHidden/>
          </w:rPr>
          <w:instrText xml:space="preserve"> PAGEREF _Toc418674141 \h </w:instrText>
        </w:r>
        <w:r>
          <w:rPr>
            <w:noProof/>
            <w:webHidden/>
          </w:rPr>
        </w:r>
        <w:r>
          <w:rPr>
            <w:noProof/>
            <w:webHidden/>
          </w:rPr>
          <w:fldChar w:fldCharType="separate"/>
        </w:r>
        <w:r>
          <w:rPr>
            <w:noProof/>
            <w:webHidden/>
          </w:rPr>
          <w:t>23</w:t>
        </w:r>
        <w:r>
          <w:rPr>
            <w:noProof/>
            <w:webHidden/>
          </w:rPr>
          <w:fldChar w:fldCharType="end"/>
        </w:r>
      </w:hyperlink>
    </w:p>
    <w:p w14:paraId="0314FA01"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2" w:history="1">
        <w:r w:rsidRPr="0040450B">
          <w:rPr>
            <w:rStyle w:val="Hyperlink"/>
            <w:noProof/>
          </w:rPr>
          <w:t>Usługa Magistrali Usług – Przekaźniki</w:t>
        </w:r>
        <w:r>
          <w:rPr>
            <w:noProof/>
            <w:webHidden/>
          </w:rPr>
          <w:tab/>
        </w:r>
        <w:r>
          <w:rPr>
            <w:noProof/>
            <w:webHidden/>
          </w:rPr>
          <w:fldChar w:fldCharType="begin"/>
        </w:r>
        <w:r>
          <w:rPr>
            <w:noProof/>
            <w:webHidden/>
          </w:rPr>
          <w:instrText xml:space="preserve"> PAGEREF _Toc418674142 \h </w:instrText>
        </w:r>
        <w:r>
          <w:rPr>
            <w:noProof/>
            <w:webHidden/>
          </w:rPr>
        </w:r>
        <w:r>
          <w:rPr>
            <w:noProof/>
            <w:webHidden/>
          </w:rPr>
          <w:fldChar w:fldCharType="separate"/>
        </w:r>
        <w:r>
          <w:rPr>
            <w:noProof/>
            <w:webHidden/>
          </w:rPr>
          <w:t>23</w:t>
        </w:r>
        <w:r>
          <w:rPr>
            <w:noProof/>
            <w:webHidden/>
          </w:rPr>
          <w:fldChar w:fldCharType="end"/>
        </w:r>
      </w:hyperlink>
    </w:p>
    <w:p w14:paraId="56C79F1A"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3" w:history="1">
        <w:r w:rsidRPr="0040450B">
          <w:rPr>
            <w:rStyle w:val="Hyperlink"/>
            <w:noProof/>
          </w:rPr>
          <w:t>Usługa Magistrali Usług – Kolejki i Tematy</w:t>
        </w:r>
        <w:r>
          <w:rPr>
            <w:noProof/>
            <w:webHidden/>
          </w:rPr>
          <w:tab/>
        </w:r>
        <w:r>
          <w:rPr>
            <w:noProof/>
            <w:webHidden/>
          </w:rPr>
          <w:fldChar w:fldCharType="begin"/>
        </w:r>
        <w:r>
          <w:rPr>
            <w:noProof/>
            <w:webHidden/>
          </w:rPr>
          <w:instrText xml:space="preserve"> PAGEREF _Toc418674143 \h </w:instrText>
        </w:r>
        <w:r>
          <w:rPr>
            <w:noProof/>
            <w:webHidden/>
          </w:rPr>
        </w:r>
        <w:r>
          <w:rPr>
            <w:noProof/>
            <w:webHidden/>
          </w:rPr>
          <w:fldChar w:fldCharType="separate"/>
        </w:r>
        <w:r>
          <w:rPr>
            <w:noProof/>
            <w:webHidden/>
          </w:rPr>
          <w:t>24</w:t>
        </w:r>
        <w:r>
          <w:rPr>
            <w:noProof/>
            <w:webHidden/>
          </w:rPr>
          <w:fldChar w:fldCharType="end"/>
        </w:r>
      </w:hyperlink>
    </w:p>
    <w:p w14:paraId="432F7EC4"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4" w:history="1">
        <w:r w:rsidRPr="0040450B">
          <w:rPr>
            <w:rStyle w:val="Hyperlink"/>
            <w:noProof/>
          </w:rPr>
          <w:t>Usługa Magistrali Usług – Centra Powiadomień</w:t>
        </w:r>
        <w:r>
          <w:rPr>
            <w:noProof/>
            <w:webHidden/>
          </w:rPr>
          <w:tab/>
        </w:r>
        <w:r>
          <w:rPr>
            <w:noProof/>
            <w:webHidden/>
          </w:rPr>
          <w:fldChar w:fldCharType="begin"/>
        </w:r>
        <w:r>
          <w:rPr>
            <w:noProof/>
            <w:webHidden/>
          </w:rPr>
          <w:instrText xml:space="preserve"> PAGEREF _Toc418674144 \h </w:instrText>
        </w:r>
        <w:r>
          <w:rPr>
            <w:noProof/>
            <w:webHidden/>
          </w:rPr>
        </w:r>
        <w:r>
          <w:rPr>
            <w:noProof/>
            <w:webHidden/>
          </w:rPr>
          <w:fldChar w:fldCharType="separate"/>
        </w:r>
        <w:r>
          <w:rPr>
            <w:noProof/>
            <w:webHidden/>
          </w:rPr>
          <w:t>24</w:t>
        </w:r>
        <w:r>
          <w:rPr>
            <w:noProof/>
            <w:webHidden/>
          </w:rPr>
          <w:fldChar w:fldCharType="end"/>
        </w:r>
      </w:hyperlink>
    </w:p>
    <w:p w14:paraId="101EF947"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5" w:history="1">
        <w:r w:rsidRPr="0040450B">
          <w:rPr>
            <w:rStyle w:val="Hyperlink"/>
            <w:noProof/>
          </w:rPr>
          <w:t>Usługa Magistrali Usług – Centra Zdarzeń</w:t>
        </w:r>
        <w:r>
          <w:rPr>
            <w:noProof/>
            <w:webHidden/>
          </w:rPr>
          <w:tab/>
        </w:r>
        <w:r>
          <w:rPr>
            <w:noProof/>
            <w:webHidden/>
          </w:rPr>
          <w:fldChar w:fldCharType="begin"/>
        </w:r>
        <w:r>
          <w:rPr>
            <w:noProof/>
            <w:webHidden/>
          </w:rPr>
          <w:instrText xml:space="preserve"> PAGEREF _Toc418674145 \h </w:instrText>
        </w:r>
        <w:r>
          <w:rPr>
            <w:noProof/>
            <w:webHidden/>
          </w:rPr>
        </w:r>
        <w:r>
          <w:rPr>
            <w:noProof/>
            <w:webHidden/>
          </w:rPr>
          <w:fldChar w:fldCharType="separate"/>
        </w:r>
        <w:r>
          <w:rPr>
            <w:noProof/>
            <w:webHidden/>
          </w:rPr>
          <w:t>25</w:t>
        </w:r>
        <w:r>
          <w:rPr>
            <w:noProof/>
            <w:webHidden/>
          </w:rPr>
          <w:fldChar w:fldCharType="end"/>
        </w:r>
      </w:hyperlink>
    </w:p>
    <w:p w14:paraId="0F4DC4A1"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6" w:history="1">
        <w:r w:rsidRPr="0040450B">
          <w:rPr>
            <w:rStyle w:val="Hyperlink"/>
            <w:noProof/>
          </w:rPr>
          <w:t>Usługa Przywracania Witryn – ze środowiska lokalnego do systemu Azure</w:t>
        </w:r>
        <w:r>
          <w:rPr>
            <w:noProof/>
            <w:webHidden/>
          </w:rPr>
          <w:tab/>
        </w:r>
        <w:r>
          <w:rPr>
            <w:noProof/>
            <w:webHidden/>
          </w:rPr>
          <w:fldChar w:fldCharType="begin"/>
        </w:r>
        <w:r>
          <w:rPr>
            <w:noProof/>
            <w:webHidden/>
          </w:rPr>
          <w:instrText xml:space="preserve"> PAGEREF _Toc418674146 \h </w:instrText>
        </w:r>
        <w:r>
          <w:rPr>
            <w:noProof/>
            <w:webHidden/>
          </w:rPr>
        </w:r>
        <w:r>
          <w:rPr>
            <w:noProof/>
            <w:webHidden/>
          </w:rPr>
          <w:fldChar w:fldCharType="separate"/>
        </w:r>
        <w:r>
          <w:rPr>
            <w:noProof/>
            <w:webHidden/>
          </w:rPr>
          <w:t>25</w:t>
        </w:r>
        <w:r>
          <w:rPr>
            <w:noProof/>
            <w:webHidden/>
          </w:rPr>
          <w:fldChar w:fldCharType="end"/>
        </w:r>
      </w:hyperlink>
    </w:p>
    <w:p w14:paraId="357D11EE"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7" w:history="1">
        <w:r w:rsidRPr="0040450B">
          <w:rPr>
            <w:rStyle w:val="Hyperlink"/>
            <w:noProof/>
          </w:rPr>
          <w:t>Usługa Przywracania Witryn – ze środowiska lokalnego do środowiska lokalnego</w:t>
        </w:r>
        <w:r>
          <w:rPr>
            <w:noProof/>
            <w:webHidden/>
          </w:rPr>
          <w:tab/>
        </w:r>
        <w:r>
          <w:rPr>
            <w:noProof/>
            <w:webHidden/>
          </w:rPr>
          <w:fldChar w:fldCharType="begin"/>
        </w:r>
        <w:r>
          <w:rPr>
            <w:noProof/>
            <w:webHidden/>
          </w:rPr>
          <w:instrText xml:space="preserve"> PAGEREF _Toc418674147 \h </w:instrText>
        </w:r>
        <w:r>
          <w:rPr>
            <w:noProof/>
            <w:webHidden/>
          </w:rPr>
        </w:r>
        <w:r>
          <w:rPr>
            <w:noProof/>
            <w:webHidden/>
          </w:rPr>
          <w:fldChar w:fldCharType="separate"/>
        </w:r>
        <w:r>
          <w:rPr>
            <w:noProof/>
            <w:webHidden/>
          </w:rPr>
          <w:t>26</w:t>
        </w:r>
        <w:r>
          <w:rPr>
            <w:noProof/>
            <w:webHidden/>
          </w:rPr>
          <w:fldChar w:fldCharType="end"/>
        </w:r>
      </w:hyperlink>
    </w:p>
    <w:p w14:paraId="1A25AF34"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8" w:history="1">
        <w:r w:rsidRPr="0040450B">
          <w:rPr>
            <w:rStyle w:val="Hyperlink"/>
            <w:noProof/>
          </w:rPr>
          <w:t>Analiza Strumienia – Wywołania API</w:t>
        </w:r>
        <w:r>
          <w:rPr>
            <w:noProof/>
            <w:webHidden/>
          </w:rPr>
          <w:tab/>
        </w:r>
        <w:r>
          <w:rPr>
            <w:noProof/>
            <w:webHidden/>
          </w:rPr>
          <w:fldChar w:fldCharType="begin"/>
        </w:r>
        <w:r>
          <w:rPr>
            <w:noProof/>
            <w:webHidden/>
          </w:rPr>
          <w:instrText xml:space="preserve"> PAGEREF _Toc418674148 \h </w:instrText>
        </w:r>
        <w:r>
          <w:rPr>
            <w:noProof/>
            <w:webHidden/>
          </w:rPr>
        </w:r>
        <w:r>
          <w:rPr>
            <w:noProof/>
            <w:webHidden/>
          </w:rPr>
          <w:fldChar w:fldCharType="separate"/>
        </w:r>
        <w:r>
          <w:rPr>
            <w:noProof/>
            <w:webHidden/>
          </w:rPr>
          <w:t>27</w:t>
        </w:r>
        <w:r>
          <w:rPr>
            <w:noProof/>
            <w:webHidden/>
          </w:rPr>
          <w:fldChar w:fldCharType="end"/>
        </w:r>
      </w:hyperlink>
    </w:p>
    <w:p w14:paraId="32BF2C44"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49" w:history="1">
        <w:r w:rsidRPr="0040450B">
          <w:rPr>
            <w:rStyle w:val="Hyperlink"/>
            <w:noProof/>
          </w:rPr>
          <w:t>Analiza Strumienia – Zadania</w:t>
        </w:r>
        <w:r>
          <w:rPr>
            <w:noProof/>
            <w:webHidden/>
          </w:rPr>
          <w:tab/>
        </w:r>
        <w:r>
          <w:rPr>
            <w:noProof/>
            <w:webHidden/>
          </w:rPr>
          <w:fldChar w:fldCharType="begin"/>
        </w:r>
        <w:r>
          <w:rPr>
            <w:noProof/>
            <w:webHidden/>
          </w:rPr>
          <w:instrText xml:space="preserve"> PAGEREF _Toc418674149 \h </w:instrText>
        </w:r>
        <w:r>
          <w:rPr>
            <w:noProof/>
            <w:webHidden/>
          </w:rPr>
        </w:r>
        <w:r>
          <w:rPr>
            <w:noProof/>
            <w:webHidden/>
          </w:rPr>
          <w:fldChar w:fldCharType="separate"/>
        </w:r>
        <w:r>
          <w:rPr>
            <w:noProof/>
            <w:webHidden/>
          </w:rPr>
          <w:t>27</w:t>
        </w:r>
        <w:r>
          <w:rPr>
            <w:noProof/>
            <w:webHidden/>
          </w:rPr>
          <w:fldChar w:fldCharType="end"/>
        </w:r>
      </w:hyperlink>
    </w:p>
    <w:p w14:paraId="6B120664"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0" w:history="1">
        <w:r w:rsidRPr="0040450B">
          <w:rPr>
            <w:rStyle w:val="Hyperlink"/>
            <w:noProof/>
          </w:rPr>
          <w:t>Usługa Baz Danych SQL (Poziomy usługi Web i Business)</w:t>
        </w:r>
        <w:r>
          <w:rPr>
            <w:noProof/>
            <w:webHidden/>
          </w:rPr>
          <w:tab/>
        </w:r>
        <w:r>
          <w:rPr>
            <w:noProof/>
            <w:webHidden/>
          </w:rPr>
          <w:fldChar w:fldCharType="begin"/>
        </w:r>
        <w:r>
          <w:rPr>
            <w:noProof/>
            <w:webHidden/>
          </w:rPr>
          <w:instrText xml:space="preserve"> PAGEREF _Toc418674150 \h </w:instrText>
        </w:r>
        <w:r>
          <w:rPr>
            <w:noProof/>
            <w:webHidden/>
          </w:rPr>
        </w:r>
        <w:r>
          <w:rPr>
            <w:noProof/>
            <w:webHidden/>
          </w:rPr>
          <w:fldChar w:fldCharType="separate"/>
        </w:r>
        <w:r>
          <w:rPr>
            <w:noProof/>
            <w:webHidden/>
          </w:rPr>
          <w:t>27</w:t>
        </w:r>
        <w:r>
          <w:rPr>
            <w:noProof/>
            <w:webHidden/>
          </w:rPr>
          <w:fldChar w:fldCharType="end"/>
        </w:r>
      </w:hyperlink>
    </w:p>
    <w:p w14:paraId="2D8C146E"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1" w:history="1">
        <w:r w:rsidRPr="0040450B">
          <w:rPr>
            <w:rStyle w:val="Hyperlink"/>
            <w:noProof/>
          </w:rPr>
          <w:t>Usługa Baz Danych SQL (Poziomy usługi Basic, Standard i Premium)</w:t>
        </w:r>
        <w:r>
          <w:rPr>
            <w:noProof/>
            <w:webHidden/>
          </w:rPr>
          <w:tab/>
        </w:r>
        <w:r>
          <w:rPr>
            <w:noProof/>
            <w:webHidden/>
          </w:rPr>
          <w:fldChar w:fldCharType="begin"/>
        </w:r>
        <w:r>
          <w:rPr>
            <w:noProof/>
            <w:webHidden/>
          </w:rPr>
          <w:instrText xml:space="preserve"> PAGEREF _Toc418674151 \h </w:instrText>
        </w:r>
        <w:r>
          <w:rPr>
            <w:noProof/>
            <w:webHidden/>
          </w:rPr>
        </w:r>
        <w:r>
          <w:rPr>
            <w:noProof/>
            <w:webHidden/>
          </w:rPr>
          <w:fldChar w:fldCharType="separate"/>
        </w:r>
        <w:r>
          <w:rPr>
            <w:noProof/>
            <w:webHidden/>
          </w:rPr>
          <w:t>28</w:t>
        </w:r>
        <w:r>
          <w:rPr>
            <w:noProof/>
            <w:webHidden/>
          </w:rPr>
          <w:fldChar w:fldCharType="end"/>
        </w:r>
      </w:hyperlink>
    </w:p>
    <w:p w14:paraId="71F87B3A"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2" w:history="1">
        <w:r w:rsidRPr="0040450B">
          <w:rPr>
            <w:rStyle w:val="Hyperlink"/>
            <w:noProof/>
          </w:rPr>
          <w:t>Usługa Pamięci Masowej</w:t>
        </w:r>
        <w:r>
          <w:rPr>
            <w:noProof/>
            <w:webHidden/>
          </w:rPr>
          <w:tab/>
        </w:r>
        <w:r>
          <w:rPr>
            <w:noProof/>
            <w:webHidden/>
          </w:rPr>
          <w:fldChar w:fldCharType="begin"/>
        </w:r>
        <w:r>
          <w:rPr>
            <w:noProof/>
            <w:webHidden/>
          </w:rPr>
          <w:instrText xml:space="preserve"> PAGEREF _Toc418674152 \h </w:instrText>
        </w:r>
        <w:r>
          <w:rPr>
            <w:noProof/>
            <w:webHidden/>
          </w:rPr>
        </w:r>
        <w:r>
          <w:rPr>
            <w:noProof/>
            <w:webHidden/>
          </w:rPr>
          <w:fldChar w:fldCharType="separate"/>
        </w:r>
        <w:r>
          <w:rPr>
            <w:noProof/>
            <w:webHidden/>
          </w:rPr>
          <w:t>28</w:t>
        </w:r>
        <w:r>
          <w:rPr>
            <w:noProof/>
            <w:webHidden/>
          </w:rPr>
          <w:fldChar w:fldCharType="end"/>
        </w:r>
      </w:hyperlink>
    </w:p>
    <w:p w14:paraId="649C53E8"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3" w:history="1">
        <w:r w:rsidRPr="0040450B">
          <w:rPr>
            <w:rStyle w:val="Hyperlink"/>
            <w:noProof/>
          </w:rPr>
          <w:t>Usługa StorSimple</w:t>
        </w:r>
        <w:r>
          <w:rPr>
            <w:noProof/>
            <w:webHidden/>
          </w:rPr>
          <w:tab/>
        </w:r>
        <w:r>
          <w:rPr>
            <w:noProof/>
            <w:webHidden/>
          </w:rPr>
          <w:fldChar w:fldCharType="begin"/>
        </w:r>
        <w:r>
          <w:rPr>
            <w:noProof/>
            <w:webHidden/>
          </w:rPr>
          <w:instrText xml:space="preserve"> PAGEREF _Toc418674153 \h </w:instrText>
        </w:r>
        <w:r>
          <w:rPr>
            <w:noProof/>
            <w:webHidden/>
          </w:rPr>
        </w:r>
        <w:r>
          <w:rPr>
            <w:noProof/>
            <w:webHidden/>
          </w:rPr>
          <w:fldChar w:fldCharType="separate"/>
        </w:r>
        <w:r>
          <w:rPr>
            <w:noProof/>
            <w:webHidden/>
          </w:rPr>
          <w:t>30</w:t>
        </w:r>
        <w:r>
          <w:rPr>
            <w:noProof/>
            <w:webHidden/>
          </w:rPr>
          <w:fldChar w:fldCharType="end"/>
        </w:r>
      </w:hyperlink>
    </w:p>
    <w:p w14:paraId="5C4BE497"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4" w:history="1">
        <w:r w:rsidRPr="0040450B">
          <w:rPr>
            <w:rStyle w:val="Hyperlink"/>
            <w:noProof/>
          </w:rPr>
          <w:t>Usługa Menedżera Ruchu</w:t>
        </w:r>
        <w:r>
          <w:rPr>
            <w:noProof/>
            <w:webHidden/>
          </w:rPr>
          <w:tab/>
        </w:r>
        <w:r>
          <w:rPr>
            <w:noProof/>
            <w:webHidden/>
          </w:rPr>
          <w:fldChar w:fldCharType="begin"/>
        </w:r>
        <w:r>
          <w:rPr>
            <w:noProof/>
            <w:webHidden/>
          </w:rPr>
          <w:instrText xml:space="preserve"> PAGEREF _Toc418674154 \h </w:instrText>
        </w:r>
        <w:r>
          <w:rPr>
            <w:noProof/>
            <w:webHidden/>
          </w:rPr>
        </w:r>
        <w:r>
          <w:rPr>
            <w:noProof/>
            <w:webHidden/>
          </w:rPr>
          <w:fldChar w:fldCharType="separate"/>
        </w:r>
        <w:r>
          <w:rPr>
            <w:noProof/>
            <w:webHidden/>
          </w:rPr>
          <w:t>30</w:t>
        </w:r>
        <w:r>
          <w:rPr>
            <w:noProof/>
            <w:webHidden/>
          </w:rPr>
          <w:fldChar w:fldCharType="end"/>
        </w:r>
      </w:hyperlink>
    </w:p>
    <w:p w14:paraId="668D519D"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5" w:history="1">
        <w:r w:rsidRPr="0040450B">
          <w:rPr>
            <w:rStyle w:val="Hyperlink"/>
            <w:noProof/>
          </w:rPr>
          <w:t>Maszyny Wirtualne</w:t>
        </w:r>
        <w:r>
          <w:rPr>
            <w:noProof/>
            <w:webHidden/>
          </w:rPr>
          <w:tab/>
        </w:r>
        <w:r>
          <w:rPr>
            <w:noProof/>
            <w:webHidden/>
          </w:rPr>
          <w:fldChar w:fldCharType="begin"/>
        </w:r>
        <w:r>
          <w:rPr>
            <w:noProof/>
            <w:webHidden/>
          </w:rPr>
          <w:instrText xml:space="preserve"> PAGEREF _Toc418674155 \h </w:instrText>
        </w:r>
        <w:r>
          <w:rPr>
            <w:noProof/>
            <w:webHidden/>
          </w:rPr>
        </w:r>
        <w:r>
          <w:rPr>
            <w:noProof/>
            <w:webHidden/>
          </w:rPr>
          <w:fldChar w:fldCharType="separate"/>
        </w:r>
        <w:r>
          <w:rPr>
            <w:noProof/>
            <w:webHidden/>
          </w:rPr>
          <w:t>31</w:t>
        </w:r>
        <w:r>
          <w:rPr>
            <w:noProof/>
            <w:webHidden/>
          </w:rPr>
          <w:fldChar w:fldCharType="end"/>
        </w:r>
      </w:hyperlink>
    </w:p>
    <w:p w14:paraId="5680EF4B"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6" w:history="1">
        <w:r w:rsidRPr="0040450B">
          <w:rPr>
            <w:rStyle w:val="Hyperlink"/>
            <w:noProof/>
          </w:rPr>
          <w:t>Brama VPN</w:t>
        </w:r>
        <w:r>
          <w:rPr>
            <w:noProof/>
            <w:webHidden/>
          </w:rPr>
          <w:tab/>
        </w:r>
        <w:r>
          <w:rPr>
            <w:noProof/>
            <w:webHidden/>
          </w:rPr>
          <w:fldChar w:fldCharType="begin"/>
        </w:r>
        <w:r>
          <w:rPr>
            <w:noProof/>
            <w:webHidden/>
          </w:rPr>
          <w:instrText xml:space="preserve"> PAGEREF _Toc418674156 \h </w:instrText>
        </w:r>
        <w:r>
          <w:rPr>
            <w:noProof/>
            <w:webHidden/>
          </w:rPr>
        </w:r>
        <w:r>
          <w:rPr>
            <w:noProof/>
            <w:webHidden/>
          </w:rPr>
          <w:fldChar w:fldCharType="separate"/>
        </w:r>
        <w:r>
          <w:rPr>
            <w:noProof/>
            <w:webHidden/>
          </w:rPr>
          <w:t>31</w:t>
        </w:r>
        <w:r>
          <w:rPr>
            <w:noProof/>
            <w:webHidden/>
          </w:rPr>
          <w:fldChar w:fldCharType="end"/>
        </w:r>
      </w:hyperlink>
    </w:p>
    <w:p w14:paraId="2B68E25E"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7" w:history="1">
        <w:r w:rsidRPr="0040450B">
          <w:rPr>
            <w:rStyle w:val="Hyperlink"/>
            <w:noProof/>
          </w:rPr>
          <w:t>Visual Studio Online – Usługa Planów Użytkownika</w:t>
        </w:r>
        <w:r>
          <w:rPr>
            <w:noProof/>
            <w:webHidden/>
          </w:rPr>
          <w:tab/>
        </w:r>
        <w:r>
          <w:rPr>
            <w:noProof/>
            <w:webHidden/>
          </w:rPr>
          <w:fldChar w:fldCharType="begin"/>
        </w:r>
        <w:r>
          <w:rPr>
            <w:noProof/>
            <w:webHidden/>
          </w:rPr>
          <w:instrText xml:space="preserve"> PAGEREF _Toc418674157 \h </w:instrText>
        </w:r>
        <w:r>
          <w:rPr>
            <w:noProof/>
            <w:webHidden/>
          </w:rPr>
        </w:r>
        <w:r>
          <w:rPr>
            <w:noProof/>
            <w:webHidden/>
          </w:rPr>
          <w:fldChar w:fldCharType="separate"/>
        </w:r>
        <w:r>
          <w:rPr>
            <w:noProof/>
            <w:webHidden/>
          </w:rPr>
          <w:t>32</w:t>
        </w:r>
        <w:r>
          <w:rPr>
            <w:noProof/>
            <w:webHidden/>
          </w:rPr>
          <w:fldChar w:fldCharType="end"/>
        </w:r>
      </w:hyperlink>
    </w:p>
    <w:p w14:paraId="71C10CFB"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8" w:history="1">
        <w:r w:rsidRPr="0040450B">
          <w:rPr>
            <w:rStyle w:val="Hyperlink"/>
            <w:noProof/>
          </w:rPr>
          <w:t>Visual Studio Online – Usługa Kompilacji</w:t>
        </w:r>
        <w:r>
          <w:rPr>
            <w:noProof/>
            <w:webHidden/>
          </w:rPr>
          <w:tab/>
        </w:r>
        <w:r>
          <w:rPr>
            <w:noProof/>
            <w:webHidden/>
          </w:rPr>
          <w:fldChar w:fldCharType="begin"/>
        </w:r>
        <w:r>
          <w:rPr>
            <w:noProof/>
            <w:webHidden/>
          </w:rPr>
          <w:instrText xml:space="preserve"> PAGEREF _Toc418674158 \h </w:instrText>
        </w:r>
        <w:r>
          <w:rPr>
            <w:noProof/>
            <w:webHidden/>
          </w:rPr>
        </w:r>
        <w:r>
          <w:rPr>
            <w:noProof/>
            <w:webHidden/>
          </w:rPr>
          <w:fldChar w:fldCharType="separate"/>
        </w:r>
        <w:r>
          <w:rPr>
            <w:noProof/>
            <w:webHidden/>
          </w:rPr>
          <w:t>32</w:t>
        </w:r>
        <w:r>
          <w:rPr>
            <w:noProof/>
            <w:webHidden/>
          </w:rPr>
          <w:fldChar w:fldCharType="end"/>
        </w:r>
      </w:hyperlink>
    </w:p>
    <w:p w14:paraId="161BFB69"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59" w:history="1">
        <w:r w:rsidRPr="0040450B">
          <w:rPr>
            <w:rStyle w:val="Hyperlink"/>
            <w:noProof/>
          </w:rPr>
          <w:t>Visual Studio Online – Usługa Testowania Obciążenia</w:t>
        </w:r>
        <w:r>
          <w:rPr>
            <w:noProof/>
            <w:webHidden/>
          </w:rPr>
          <w:tab/>
        </w:r>
        <w:r>
          <w:rPr>
            <w:noProof/>
            <w:webHidden/>
          </w:rPr>
          <w:fldChar w:fldCharType="begin"/>
        </w:r>
        <w:r>
          <w:rPr>
            <w:noProof/>
            <w:webHidden/>
          </w:rPr>
          <w:instrText xml:space="preserve"> PAGEREF _Toc418674159 \h </w:instrText>
        </w:r>
        <w:r>
          <w:rPr>
            <w:noProof/>
            <w:webHidden/>
          </w:rPr>
        </w:r>
        <w:r>
          <w:rPr>
            <w:noProof/>
            <w:webHidden/>
          </w:rPr>
          <w:fldChar w:fldCharType="separate"/>
        </w:r>
        <w:r>
          <w:rPr>
            <w:noProof/>
            <w:webHidden/>
          </w:rPr>
          <w:t>33</w:t>
        </w:r>
        <w:r>
          <w:rPr>
            <w:noProof/>
            <w:webHidden/>
          </w:rPr>
          <w:fldChar w:fldCharType="end"/>
        </w:r>
      </w:hyperlink>
    </w:p>
    <w:p w14:paraId="4A88B94B"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60" w:history="1">
        <w:r w:rsidRPr="0040450B">
          <w:rPr>
            <w:rStyle w:val="Hyperlink"/>
            <w:noProof/>
          </w:rPr>
          <w:t>Usługa Witryn Sieci Web</w:t>
        </w:r>
        <w:r>
          <w:rPr>
            <w:noProof/>
            <w:webHidden/>
          </w:rPr>
          <w:tab/>
        </w:r>
        <w:r>
          <w:rPr>
            <w:noProof/>
            <w:webHidden/>
          </w:rPr>
          <w:fldChar w:fldCharType="begin"/>
        </w:r>
        <w:r>
          <w:rPr>
            <w:noProof/>
            <w:webHidden/>
          </w:rPr>
          <w:instrText xml:space="preserve"> PAGEREF _Toc418674160 \h </w:instrText>
        </w:r>
        <w:r>
          <w:rPr>
            <w:noProof/>
            <w:webHidden/>
          </w:rPr>
        </w:r>
        <w:r>
          <w:rPr>
            <w:noProof/>
            <w:webHidden/>
          </w:rPr>
          <w:fldChar w:fldCharType="separate"/>
        </w:r>
        <w:r>
          <w:rPr>
            <w:noProof/>
            <w:webHidden/>
          </w:rPr>
          <w:t>33</w:t>
        </w:r>
        <w:r>
          <w:rPr>
            <w:noProof/>
            <w:webHidden/>
          </w:rPr>
          <w:fldChar w:fldCharType="end"/>
        </w:r>
      </w:hyperlink>
    </w:p>
    <w:p w14:paraId="7A395D64" w14:textId="77777777" w:rsidR="00A45285" w:rsidRDefault="00A45285">
      <w:pPr>
        <w:pStyle w:val="TOC2"/>
        <w:tabs>
          <w:tab w:val="right" w:leader="dot" w:pos="5030"/>
        </w:tabs>
        <w:rPr>
          <w:rFonts w:eastAsiaTheme="minorEastAsia"/>
          <w:b w:val="0"/>
          <w:smallCaps w:val="0"/>
          <w:noProof/>
          <w:sz w:val="22"/>
          <w:lang w:val="en-US" w:eastAsia="en-US" w:bidi="ar-SA"/>
        </w:rPr>
      </w:pPr>
      <w:hyperlink w:anchor="_Toc418674161" w:history="1">
        <w:r w:rsidRPr="0040450B">
          <w:rPr>
            <w:rStyle w:val="Hyperlink"/>
            <w:noProof/>
          </w:rPr>
          <w:t>Inne usługi online</w:t>
        </w:r>
        <w:r>
          <w:rPr>
            <w:noProof/>
            <w:webHidden/>
          </w:rPr>
          <w:tab/>
        </w:r>
        <w:r>
          <w:rPr>
            <w:noProof/>
            <w:webHidden/>
          </w:rPr>
          <w:fldChar w:fldCharType="begin"/>
        </w:r>
        <w:r>
          <w:rPr>
            <w:noProof/>
            <w:webHidden/>
          </w:rPr>
          <w:instrText xml:space="preserve"> PAGEREF _Toc418674161 \h </w:instrText>
        </w:r>
        <w:r>
          <w:rPr>
            <w:noProof/>
            <w:webHidden/>
          </w:rPr>
        </w:r>
        <w:r>
          <w:rPr>
            <w:noProof/>
            <w:webHidden/>
          </w:rPr>
          <w:fldChar w:fldCharType="separate"/>
        </w:r>
        <w:r>
          <w:rPr>
            <w:noProof/>
            <w:webHidden/>
          </w:rPr>
          <w:t>33</w:t>
        </w:r>
        <w:r>
          <w:rPr>
            <w:noProof/>
            <w:webHidden/>
          </w:rPr>
          <w:fldChar w:fldCharType="end"/>
        </w:r>
      </w:hyperlink>
    </w:p>
    <w:p w14:paraId="05C0BBCB"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62" w:history="1">
        <w:r w:rsidRPr="0040450B">
          <w:rPr>
            <w:rStyle w:val="Hyperlink"/>
            <w:noProof/>
          </w:rPr>
          <w:t>Bing Maps Enterprise Platform</w:t>
        </w:r>
        <w:r>
          <w:rPr>
            <w:noProof/>
            <w:webHidden/>
          </w:rPr>
          <w:tab/>
        </w:r>
        <w:r>
          <w:rPr>
            <w:noProof/>
            <w:webHidden/>
          </w:rPr>
          <w:fldChar w:fldCharType="begin"/>
        </w:r>
        <w:r>
          <w:rPr>
            <w:noProof/>
            <w:webHidden/>
          </w:rPr>
          <w:instrText xml:space="preserve"> PAGEREF _Toc418674162 \h </w:instrText>
        </w:r>
        <w:r>
          <w:rPr>
            <w:noProof/>
            <w:webHidden/>
          </w:rPr>
        </w:r>
        <w:r>
          <w:rPr>
            <w:noProof/>
            <w:webHidden/>
          </w:rPr>
          <w:fldChar w:fldCharType="separate"/>
        </w:r>
        <w:r>
          <w:rPr>
            <w:noProof/>
            <w:webHidden/>
          </w:rPr>
          <w:t>33</w:t>
        </w:r>
        <w:r>
          <w:rPr>
            <w:noProof/>
            <w:webHidden/>
          </w:rPr>
          <w:fldChar w:fldCharType="end"/>
        </w:r>
      </w:hyperlink>
    </w:p>
    <w:p w14:paraId="4DF114F7"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63" w:history="1">
        <w:r w:rsidRPr="0040450B">
          <w:rPr>
            <w:rStyle w:val="Hyperlink"/>
            <w:noProof/>
          </w:rPr>
          <w:t>Usługa Bing Maps Mobile Asset Management</w:t>
        </w:r>
        <w:r>
          <w:rPr>
            <w:noProof/>
            <w:webHidden/>
          </w:rPr>
          <w:tab/>
        </w:r>
        <w:r>
          <w:rPr>
            <w:noProof/>
            <w:webHidden/>
          </w:rPr>
          <w:fldChar w:fldCharType="begin"/>
        </w:r>
        <w:r>
          <w:rPr>
            <w:noProof/>
            <w:webHidden/>
          </w:rPr>
          <w:instrText xml:space="preserve"> PAGEREF _Toc418674163 \h </w:instrText>
        </w:r>
        <w:r>
          <w:rPr>
            <w:noProof/>
            <w:webHidden/>
          </w:rPr>
        </w:r>
        <w:r>
          <w:rPr>
            <w:noProof/>
            <w:webHidden/>
          </w:rPr>
          <w:fldChar w:fldCharType="separate"/>
        </w:r>
        <w:r>
          <w:rPr>
            <w:noProof/>
            <w:webHidden/>
          </w:rPr>
          <w:t>34</w:t>
        </w:r>
        <w:r>
          <w:rPr>
            <w:noProof/>
            <w:webHidden/>
          </w:rPr>
          <w:fldChar w:fldCharType="end"/>
        </w:r>
      </w:hyperlink>
    </w:p>
    <w:p w14:paraId="34BE26BE"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64" w:history="1">
        <w:r w:rsidRPr="0040450B">
          <w:rPr>
            <w:rStyle w:val="Hyperlink"/>
            <w:noProof/>
            <w:lang w:val="en-US"/>
          </w:rPr>
          <w:t>Power BI for Office 365</w:t>
        </w:r>
        <w:r>
          <w:rPr>
            <w:noProof/>
            <w:webHidden/>
          </w:rPr>
          <w:tab/>
        </w:r>
        <w:r>
          <w:rPr>
            <w:noProof/>
            <w:webHidden/>
          </w:rPr>
          <w:fldChar w:fldCharType="begin"/>
        </w:r>
        <w:r>
          <w:rPr>
            <w:noProof/>
            <w:webHidden/>
          </w:rPr>
          <w:instrText xml:space="preserve"> PAGEREF _Toc418674164 \h </w:instrText>
        </w:r>
        <w:r>
          <w:rPr>
            <w:noProof/>
            <w:webHidden/>
          </w:rPr>
        </w:r>
        <w:r>
          <w:rPr>
            <w:noProof/>
            <w:webHidden/>
          </w:rPr>
          <w:fldChar w:fldCharType="separate"/>
        </w:r>
        <w:r>
          <w:rPr>
            <w:noProof/>
            <w:webHidden/>
          </w:rPr>
          <w:t>34</w:t>
        </w:r>
        <w:r>
          <w:rPr>
            <w:noProof/>
            <w:webHidden/>
          </w:rPr>
          <w:fldChar w:fldCharType="end"/>
        </w:r>
      </w:hyperlink>
    </w:p>
    <w:p w14:paraId="7DE106C9" w14:textId="77777777" w:rsidR="00A45285" w:rsidRDefault="00A45285">
      <w:pPr>
        <w:pStyle w:val="TOC4"/>
        <w:tabs>
          <w:tab w:val="right" w:leader="dot" w:pos="5030"/>
        </w:tabs>
        <w:rPr>
          <w:rFonts w:eastAsiaTheme="minorEastAsia"/>
          <w:smallCaps w:val="0"/>
          <w:noProof/>
          <w:sz w:val="22"/>
          <w:lang w:val="en-US" w:eastAsia="en-US" w:bidi="ar-SA"/>
        </w:rPr>
      </w:pPr>
      <w:hyperlink w:anchor="_Toc418674165" w:history="1">
        <w:r w:rsidRPr="0040450B">
          <w:rPr>
            <w:rStyle w:val="Hyperlink"/>
            <w:noProof/>
          </w:rPr>
          <w:t>Interfejs programowania aplikacji Translator</w:t>
        </w:r>
        <w:r>
          <w:rPr>
            <w:noProof/>
            <w:webHidden/>
          </w:rPr>
          <w:tab/>
        </w:r>
        <w:r>
          <w:rPr>
            <w:noProof/>
            <w:webHidden/>
          </w:rPr>
          <w:fldChar w:fldCharType="begin"/>
        </w:r>
        <w:r>
          <w:rPr>
            <w:noProof/>
            <w:webHidden/>
          </w:rPr>
          <w:instrText xml:space="preserve"> PAGEREF _Toc418674165 \h </w:instrText>
        </w:r>
        <w:r>
          <w:rPr>
            <w:noProof/>
            <w:webHidden/>
          </w:rPr>
        </w:r>
        <w:r>
          <w:rPr>
            <w:noProof/>
            <w:webHidden/>
          </w:rPr>
          <w:fldChar w:fldCharType="separate"/>
        </w:r>
        <w:r>
          <w:rPr>
            <w:noProof/>
            <w:webHidden/>
          </w:rPr>
          <w:t>35</w:t>
        </w:r>
        <w:r>
          <w:rPr>
            <w:noProof/>
            <w:webHidden/>
          </w:rPr>
          <w:fldChar w:fldCharType="end"/>
        </w:r>
      </w:hyperlink>
    </w:p>
    <w:p w14:paraId="3CCE3CF7" w14:textId="77777777" w:rsidR="00A45285" w:rsidRDefault="00A45285">
      <w:pPr>
        <w:pStyle w:val="TOC1"/>
        <w:tabs>
          <w:tab w:val="right" w:leader="dot" w:pos="5030"/>
        </w:tabs>
        <w:rPr>
          <w:rFonts w:eastAsiaTheme="minorEastAsia"/>
          <w:b w:val="0"/>
          <w:caps w:val="0"/>
          <w:noProof/>
          <w:sz w:val="22"/>
          <w:lang w:val="en-US" w:eastAsia="en-US" w:bidi="ar-SA"/>
        </w:rPr>
      </w:pPr>
      <w:hyperlink w:anchor="_Toc418674166" w:history="1">
        <w:r w:rsidRPr="0040450B">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_Toc418674166 \h </w:instrText>
        </w:r>
        <w:r>
          <w:rPr>
            <w:noProof/>
            <w:webHidden/>
          </w:rPr>
        </w:r>
        <w:r>
          <w:rPr>
            <w:noProof/>
            <w:webHidden/>
          </w:rPr>
          <w:fldChar w:fldCharType="separate"/>
        </w:r>
        <w:r>
          <w:rPr>
            <w:noProof/>
            <w:webHidden/>
          </w:rPr>
          <w:t>36</w:t>
        </w:r>
        <w:r>
          <w:rPr>
            <w:noProof/>
            <w:webHidden/>
          </w:rPr>
          <w:fldChar w:fldCharType="end"/>
        </w:r>
      </w:hyperlink>
    </w:p>
    <w:p w14:paraId="4F059198" w14:textId="77777777" w:rsidR="00A45285" w:rsidRDefault="00A45285">
      <w:pPr>
        <w:pStyle w:val="TOC1"/>
        <w:tabs>
          <w:tab w:val="right" w:leader="dot" w:pos="5030"/>
        </w:tabs>
        <w:rPr>
          <w:rFonts w:eastAsiaTheme="minorEastAsia"/>
          <w:b w:val="0"/>
          <w:caps w:val="0"/>
          <w:noProof/>
          <w:sz w:val="22"/>
          <w:lang w:val="en-US" w:eastAsia="en-US" w:bidi="ar-SA"/>
        </w:rPr>
      </w:pPr>
      <w:hyperlink w:anchor="_Toc418674167" w:history="1">
        <w:r w:rsidRPr="0040450B">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_Toc418674167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4089"/>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4090"/>
      <w:bookmarkEnd w:id="4"/>
      <w:r>
        <w:t>Informacje na temat tego dokumentu</w:t>
      </w:r>
      <w:bookmarkEnd w:id="6"/>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4091"/>
      <w:r>
        <w:t>Poprzednie wersje niniejszego Dokumentu</w:t>
      </w:r>
      <w:bookmarkEnd w:id="7"/>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4092"/>
      <w:r>
        <w:t>Objaśnienia i Opisy Zmian w Niniejszym Dokumencie</w:t>
      </w:r>
      <w:bookmarkEnd w:id="8"/>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39"/>
        <w:gridCol w:w="5336"/>
      </w:tblGrid>
      <w:tr w:rsidR="00622035" w:rsidRPr="0035123C" w14:paraId="7B3CFB25" w14:textId="77777777" w:rsidTr="00A45285">
        <w:trPr>
          <w:tblHeader/>
        </w:trPr>
        <w:tc>
          <w:tcPr>
            <w:tcW w:w="5339" w:type="dxa"/>
            <w:shd w:val="clear" w:color="auto" w:fill="0072C6"/>
          </w:tcPr>
          <w:p w14:paraId="16E5C947" w14:textId="79D06BF1" w:rsidR="00622035" w:rsidRPr="0035123C" w:rsidRDefault="00622035" w:rsidP="00622035">
            <w:pPr>
              <w:pStyle w:val="ProductList-OfferingBody"/>
            </w:pPr>
            <w:bookmarkStart w:id="9" w:name="_Toc413421537"/>
            <w:r>
              <w:rPr>
                <w:color w:val="FFFFFF" w:themeColor="background1"/>
              </w:rPr>
              <w:t>Uzupełnienia</w:t>
            </w:r>
            <w:bookmarkEnd w:id="9"/>
          </w:p>
        </w:tc>
        <w:tc>
          <w:tcPr>
            <w:tcW w:w="5336" w:type="dxa"/>
            <w:shd w:val="clear" w:color="auto" w:fill="0072C6"/>
          </w:tcPr>
          <w:p w14:paraId="5C887D55" w14:textId="4BC9F9FB" w:rsidR="00622035" w:rsidRPr="0035123C" w:rsidRDefault="00622035" w:rsidP="00622035">
            <w:pPr>
              <w:pStyle w:val="ProductList-OfferingBody"/>
            </w:pPr>
            <w:bookmarkStart w:id="10" w:name="_Toc413421538"/>
            <w:r>
              <w:rPr>
                <w:color w:val="FFFFFF" w:themeColor="background1"/>
              </w:rPr>
              <w:t>Usunięcia</w:t>
            </w:r>
            <w:bookmarkEnd w:id="10"/>
          </w:p>
        </w:tc>
      </w:tr>
      <w:tr w:rsidR="00F94543" w14:paraId="6A1E6A0C" w14:textId="77777777" w:rsidTr="00A45285">
        <w:trPr>
          <w:tblHeader/>
        </w:trPr>
        <w:tc>
          <w:tcPr>
            <w:tcW w:w="5339" w:type="dxa"/>
            <w:shd w:val="clear" w:color="auto" w:fill="auto"/>
          </w:tcPr>
          <w:p w14:paraId="68E143DB" w14:textId="71836D0A" w:rsidR="00F94543" w:rsidRDefault="00F94543" w:rsidP="00F94543">
            <w:pPr>
              <w:pStyle w:val="ProductList-OfferingBody"/>
            </w:pPr>
            <w:r>
              <w:t>Wgląd w Dane Operacyjne</w:t>
            </w:r>
          </w:p>
        </w:tc>
        <w:tc>
          <w:tcPr>
            <w:tcW w:w="5336" w:type="dxa"/>
            <w:shd w:val="clear" w:color="auto" w:fill="auto"/>
          </w:tcPr>
          <w:p w14:paraId="24F51B20" w14:textId="77777777" w:rsidR="00F94543" w:rsidRDefault="00F94543" w:rsidP="00F94543">
            <w:pPr>
              <w:pStyle w:val="ProductList-OfferingBody"/>
            </w:pPr>
          </w:p>
        </w:tc>
      </w:tr>
    </w:tbl>
    <w:p w14:paraId="602874B7" w14:textId="77777777" w:rsidR="009F4B15" w:rsidRDefault="009F4B15" w:rsidP="00106C29">
      <w:pPr>
        <w:pStyle w:val="ProductList-Body"/>
        <w:tabs>
          <w:tab w:val="clear" w:pos="360"/>
          <w:tab w:val="clear" w:pos="720"/>
          <w:tab w:val="clear" w:pos="1080"/>
        </w:tabs>
        <w:rPr>
          <w:sz w:val="16"/>
          <w:szCs w:val="16"/>
        </w:rPr>
      </w:pPr>
    </w:p>
    <w:p w14:paraId="324649DB" w14:textId="77777777" w:rsidR="00F94543" w:rsidRDefault="00221550" w:rsidP="00F94543">
      <w:pPr>
        <w:pStyle w:val="ProductList-Body"/>
        <w:tabs>
          <w:tab w:val="clear" w:pos="360"/>
          <w:tab w:val="clear" w:pos="720"/>
          <w:tab w:val="clear" w:pos="1080"/>
        </w:tabs>
      </w:pPr>
      <w:hyperlink w:anchor="SiećWirtualna" w:history="1">
        <w:r w:rsidR="00F94543">
          <w:rPr>
            <w:rStyle w:val="Hyperlink"/>
          </w:rPr>
          <w:t>Sieć Wirtualna</w:t>
        </w:r>
      </w:hyperlink>
      <w:r w:rsidR="00F94543">
        <w:t xml:space="preserve">: zmieniono nazwę tej usługi na Brama Sieci VPN. </w:t>
      </w:r>
    </w:p>
    <w:p w14:paraId="4D8C3797" w14:textId="77777777" w:rsidR="00F94543" w:rsidRDefault="00221550" w:rsidP="00F94543">
      <w:pPr>
        <w:pStyle w:val="ProductList-Body"/>
        <w:tabs>
          <w:tab w:val="clear" w:pos="360"/>
          <w:tab w:val="clear" w:pos="720"/>
          <w:tab w:val="clear" w:pos="1080"/>
        </w:tabs>
      </w:pPr>
      <w:hyperlink w:anchor="BramaVPN" w:history="1">
        <w:r w:rsidR="00F94543">
          <w:rPr>
            <w:rStyle w:val="Hyperlink"/>
          </w:rPr>
          <w:t>Brama Sieci Wirtualnej</w:t>
        </w:r>
      </w:hyperlink>
      <w:r w:rsidR="00F94543">
        <w:t>: termin ten zastąpiono terminem „Brama Sieci VPN”.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18674093"/>
      <w:r>
        <w:lastRenderedPageBreak/>
        <w:t>Ogólne Postanowienia</w:t>
      </w:r>
      <w:bookmarkEnd w:id="12"/>
    </w:p>
    <w:p w14:paraId="0BDF752D" w14:textId="5F0E96A9" w:rsidR="00045C64" w:rsidRPr="00FB368F" w:rsidRDefault="00E11454" w:rsidP="001D1C2C">
      <w:pPr>
        <w:pStyle w:val="ProductList-OfferingGroupHeading"/>
      </w:pPr>
      <w:bookmarkStart w:id="13" w:name="Definitions"/>
      <w:bookmarkStart w:id="14" w:name="_Toc418674094"/>
      <w:bookmarkEnd w:id="11"/>
      <w:r>
        <w:t>Definicje</w:t>
      </w:r>
      <w:bookmarkEnd w:id="14"/>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18674095"/>
      <w:r>
        <w:t>Postanowienia</w:t>
      </w:r>
      <w:bookmarkEnd w:id="16"/>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1D1C2C">
      <w:pPr>
        <w:pStyle w:val="ProductList-ClauseHeading"/>
      </w:pPr>
      <w:r>
        <w:t>Zniżki</w:t>
      </w:r>
    </w:p>
    <w:p w14:paraId="5F9659E7" w14:textId="35D44523" w:rsidR="001D1C2C" w:rsidRPr="00FB368F" w:rsidRDefault="001D1C2C" w:rsidP="001D1C2C">
      <w:pPr>
        <w:pStyle w:val="ProductList-Body"/>
      </w:pPr>
      <w:r>
        <w:lastRenderedPageBreak/>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18674096"/>
      <w:r>
        <w:lastRenderedPageBreak/>
        <w:t>Postanowienia Dotyczące Danej Usługi</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4097"/>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4098"/>
      <w:r>
        <w:t>Microsoft Dynamics CRM</w:t>
      </w:r>
      <w:bookmarkEnd w:id="2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22155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2155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4099"/>
      <w:r>
        <w:t>Usługi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4100"/>
      <w:r>
        <w:t>Duet Enterprise Online</w:t>
      </w:r>
      <w:bookmarkEnd w:id="2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22155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22155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3" w:name="_Toc418674101"/>
      <w:r>
        <w:lastRenderedPageBreak/>
        <w:t>Exchange Online</w:t>
      </w:r>
      <w:bookmarkEnd w:id="23"/>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22155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22155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4" w:name="_Toc418674102"/>
      <w:r>
        <w:t>Exchange Online Archiving</w:t>
      </w:r>
      <w:bookmarkEnd w:id="24"/>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22155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22155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5" w:name="_Toc418674103"/>
      <w:r>
        <w:t>Exchange Online Protection</w:t>
      </w:r>
      <w:bookmarkEnd w:id="25"/>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22155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lastRenderedPageBreak/>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22155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6" w:name="_Toc418674104"/>
      <w:r>
        <w:t>Office 365 Business</w:t>
      </w:r>
      <w:bookmarkEnd w:id="26"/>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22155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2155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7" w:name="_Toc418674105"/>
      <w:r>
        <w:t>Office 365 ProPlus</w:t>
      </w:r>
      <w:bookmarkEnd w:id="27"/>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22155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2155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8" w:name="_Toc418674106"/>
      <w:r>
        <w:t>Office Online</w:t>
      </w:r>
      <w:bookmarkEnd w:id="28"/>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22155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2155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29" w:name="_Toc418674107"/>
      <w:r>
        <w:t>Wideo Office 365</w:t>
      </w:r>
      <w:bookmarkEnd w:id="29"/>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22155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2155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30" w:name="_Toc418674108"/>
      <w:r>
        <w:t>OneDrive for Business</w:t>
      </w:r>
      <w:bookmarkEnd w:id="30"/>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22155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2155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C86427">
      <w:pPr>
        <w:pStyle w:val="ProductList-Offering2Heading"/>
      </w:pPr>
      <w:bookmarkStart w:id="31" w:name="_Toc418674109"/>
      <w:r>
        <w:t>Project Online</w:t>
      </w:r>
      <w:bookmarkEnd w:id="31"/>
    </w:p>
    <w:p w14:paraId="14E68B6F" w14:textId="779B4F42" w:rsidR="00C86427" w:rsidRPr="00FB368F" w:rsidRDefault="00C86427" w:rsidP="00C86427">
      <w:pPr>
        <w:pStyle w:val="ProductList-Body"/>
      </w:pPr>
      <w:r>
        <w:rPr>
          <w:b/>
          <w:color w:val="00188F"/>
        </w:rPr>
        <w:lastRenderedPageBreak/>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22155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215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2" w:name="_Toc418674110"/>
      <w:r>
        <w:t>SharePoint Online</w:t>
      </w:r>
      <w:bookmarkEnd w:id="32"/>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22155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215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3" w:name="_Toc418674111"/>
      <w:r>
        <w:t>Skype for Business Online</w:t>
      </w:r>
      <w:bookmarkEnd w:id="33"/>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22155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lastRenderedPageBreak/>
        <w:t>1</w:t>
      </w:r>
      <w:r>
        <w:rPr>
          <w:sz w:val="16"/>
          <w:szCs w:val="16"/>
        </w:rPr>
        <w:t>Funkcjonalność spotkań online ma zastosowanie tylko do Usługi Skype for Business Online Plan 2.</w:t>
      </w:r>
    </w:p>
    <w:p w14:paraId="601750E5" w14:textId="0BC1BECE" w:rsidR="00C86427" w:rsidRPr="00FB368F" w:rsidRDefault="002215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4" w:name="_Toc418674112"/>
      <w:r>
        <w:t>Yammer Enterprise</w:t>
      </w:r>
      <w:bookmarkEnd w:id="34"/>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22155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215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4113"/>
      <w:r>
        <w:t>Usługi Enterprise Mobility</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4114"/>
      <w:r>
        <w:t>Azure Active Directory Basic</w:t>
      </w:r>
      <w:bookmarkEnd w:id="36"/>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22155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2215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4115"/>
      <w:r>
        <w:t>Azure Active Directory Premium</w:t>
      </w:r>
      <w:bookmarkEnd w:id="37"/>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22155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215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4116"/>
      <w:r>
        <w:t>Azure Rights Management</w:t>
      </w:r>
      <w:bookmarkEnd w:id="38"/>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22155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215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4117"/>
      <w:r>
        <w:t>Microsoft Intune</w:t>
      </w:r>
      <w:bookmarkEnd w:id="3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22155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FB368F" w:rsidRDefault="00A438E0"/>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2215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674118"/>
      <w:r>
        <w:lastRenderedPageBreak/>
        <w:t>Usługi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674119"/>
      <w:r>
        <w:t>Usługi Zarządzania Interfejsami API</w:t>
      </w:r>
      <w:bookmarkEnd w:id="4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221550"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2155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8674120"/>
      <w:r>
        <w:t>Usługa Automatyzacji</w:t>
      </w:r>
      <w:bookmarkEnd w:id="42"/>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22155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2155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8674121"/>
      <w:r>
        <w:lastRenderedPageBreak/>
        <w:t>Usługa Kopii Zapasowych</w:t>
      </w:r>
      <w:bookmarkEnd w:id="43"/>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22155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2155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8674122"/>
      <w:r>
        <w:t>Usługi BizTalk</w:t>
      </w:r>
      <w:bookmarkEnd w:id="44"/>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22155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lastRenderedPageBreak/>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22155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8674123"/>
      <w:r>
        <w:t>Usługi Pamięci Podręcznej</w:t>
      </w:r>
      <w:bookmarkEnd w:id="45"/>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22155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22155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8674124"/>
      <w:r>
        <w:t>Usługa CDN</w:t>
      </w:r>
      <w:bookmarkEnd w:id="46"/>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lastRenderedPageBreak/>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2155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47" w:name="_Toc418674125"/>
      <w:r>
        <w:t>Usługi Cloud</w:t>
      </w:r>
      <w:bookmarkEnd w:id="47"/>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221550"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2155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4B85CC" w14:textId="19EF15D3" w:rsidR="00482BC7" w:rsidRPr="00FB368F" w:rsidRDefault="00482BC7" w:rsidP="00482BC7">
      <w:pPr>
        <w:pStyle w:val="ProductList-Offering2Heading"/>
        <w:tabs>
          <w:tab w:val="clear" w:pos="360"/>
          <w:tab w:val="clear" w:pos="720"/>
          <w:tab w:val="clear" w:pos="1080"/>
        </w:tabs>
        <w:outlineLvl w:val="2"/>
      </w:pPr>
      <w:bookmarkStart w:id="48" w:name="_Toc418674126"/>
      <w:r>
        <w:t>DocumentDB</w:t>
      </w:r>
      <w:bookmarkEnd w:id="48"/>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lastRenderedPageBreak/>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2155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8674127"/>
      <w:r>
        <w:t>ExpressRoute</w:t>
      </w:r>
      <w:bookmarkEnd w:id="49"/>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22155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22155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8674128"/>
      <w:r>
        <w:t>HDInsight</w:t>
      </w:r>
      <w:bookmarkEnd w:id="50"/>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22155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2155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51" w:name="_Toc412532194"/>
      <w:bookmarkStart w:id="52" w:name="_Toc418674129"/>
      <w:r w:rsidRPr="00F94543">
        <w:rPr>
          <w:szCs w:val="28"/>
        </w:rPr>
        <w:t>Uczenie Maszynowe – Usługa Wykonywania Wsadowego (BES) i Usługa Zarządzania Interfejsami API</w:t>
      </w:r>
      <w:bookmarkEnd w:id="51"/>
      <w:bookmarkEnd w:id="52"/>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22155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22155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53" w:name="_Toc418674130"/>
      <w:r w:rsidRPr="00F94543">
        <w:rPr>
          <w:szCs w:val="28"/>
        </w:rPr>
        <w:t>Uczenie Maszynowe – Usługa Odpowiedzi na Żądanie (RRS)</w:t>
      </w:r>
      <w:bookmarkEnd w:id="53"/>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22155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22155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54" w:name="_Toc418674131"/>
      <w:r w:rsidRPr="00F94543">
        <w:rPr>
          <w:szCs w:val="28"/>
        </w:rPr>
        <w:t>Usługi Multimedialne – Usługa Kodowania</w:t>
      </w:r>
      <w:bookmarkEnd w:id="54"/>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22155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221550"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55" w:name="_Toc418674132"/>
      <w:r w:rsidRPr="00F94543">
        <w:rPr>
          <w:szCs w:val="28"/>
        </w:rPr>
        <w:t>Usługi Multimedialne – Usługa Indeksowania</w:t>
      </w:r>
      <w:bookmarkEnd w:id="55"/>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221550"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2155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56" w:name="_Toc413757510"/>
      <w:bookmarkStart w:id="57" w:name="_Toc418674133"/>
      <w:r w:rsidRPr="00F94543">
        <w:rPr>
          <w:szCs w:val="28"/>
        </w:rPr>
        <w:t>Usługi Multimedialne — Kanały na Żywo</w:t>
      </w:r>
      <w:bookmarkEnd w:id="56"/>
      <w:bookmarkEnd w:id="57"/>
    </w:p>
    <w:p w14:paraId="40C9BC1F" w14:textId="77777777" w:rsidR="00B24FC4" w:rsidRDefault="00B24FC4" w:rsidP="00B24FC4">
      <w:pPr>
        <w:pStyle w:val="ProductList-Body"/>
      </w:pPr>
      <w:r>
        <w:rPr>
          <w:b/>
          <w:color w:val="00188F"/>
        </w:rPr>
        <w:t xml:space="preserve">Dodatkowe </w:t>
      </w:r>
      <w:bookmarkStart w:id="58" w:name="definicje"/>
      <w:r>
        <w:rPr>
          <w:b/>
          <w:color w:val="00188F"/>
        </w:rPr>
        <w:t>definicje</w:t>
      </w:r>
      <w:bookmarkEnd w:id="58"/>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lastRenderedPageBreak/>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221550"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221550"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59" w:name="_Toc418674134"/>
      <w:r w:rsidRPr="00F94543">
        <w:rPr>
          <w:szCs w:val="28"/>
        </w:rPr>
        <w:t>Usługi Multimedialne – Usługa Strumieniowania</w:t>
      </w:r>
      <w:bookmarkEnd w:id="59"/>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22155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2155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85A1C" w14:textId="2C54C5AB" w:rsidR="008E5959" w:rsidRPr="00F94543" w:rsidRDefault="008E5959" w:rsidP="008E5959">
      <w:pPr>
        <w:pStyle w:val="ProductList-Offering2Heading"/>
        <w:tabs>
          <w:tab w:val="clear" w:pos="360"/>
          <w:tab w:val="clear" w:pos="720"/>
          <w:tab w:val="clear" w:pos="1080"/>
        </w:tabs>
        <w:outlineLvl w:val="2"/>
        <w:rPr>
          <w:szCs w:val="28"/>
        </w:rPr>
      </w:pPr>
      <w:bookmarkStart w:id="60" w:name="_Toc418674135"/>
      <w:r w:rsidRPr="00F94543">
        <w:rPr>
          <w:szCs w:val="28"/>
        </w:rPr>
        <w:t>Usługi Multimedialne – Usługa Ochrony Treści</w:t>
      </w:r>
      <w:bookmarkEnd w:id="60"/>
    </w:p>
    <w:p w14:paraId="4845AB0E" w14:textId="77777777" w:rsidR="008E5959" w:rsidRPr="00FB368F" w:rsidRDefault="008E5959" w:rsidP="008E5959">
      <w:pPr>
        <w:pStyle w:val="ProductList-Body"/>
      </w:pPr>
      <w:r>
        <w:rPr>
          <w:b/>
          <w:color w:val="00188F"/>
        </w:rPr>
        <w:t>Dodatkowe definicje</w:t>
      </w:r>
      <w:r w:rsidRPr="0051169A">
        <w:rPr>
          <w:b/>
          <w:color w:val="00188F"/>
        </w:rPr>
        <w:t>:</w:t>
      </w:r>
    </w:p>
    <w:p w14:paraId="4E73BDB9" w14:textId="77777777" w:rsidR="008E5959" w:rsidRPr="00FB368F" w:rsidRDefault="008E5959"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4825CFDD" w14:textId="494233BB" w:rsidR="008E5959" w:rsidRDefault="008E5959" w:rsidP="008E5959">
      <w:pPr>
        <w:pStyle w:val="ProductList-Body"/>
      </w:pPr>
      <w:r>
        <w:lastRenderedPageBreak/>
        <w:t>„</w:t>
      </w:r>
      <w:r>
        <w:rPr>
          <w:b/>
          <w:color w:val="00188F"/>
        </w:rPr>
        <w:t>Łączna Liczba Prób Transakcji</w:t>
      </w:r>
      <w:r>
        <w:t>” to wszystkie Ważne Żądania Dotyczące Klucza przesłane przez Klienta w miesiącu rozliczeniowym w ramach określonej subskrypcji Microsoft Azure.</w:t>
      </w:r>
    </w:p>
    <w:p w14:paraId="7E8B9EF5" w14:textId="77777777" w:rsidR="00F94543" w:rsidRDefault="00F94543" w:rsidP="00F94543">
      <w:pPr>
        <w:pStyle w:val="ProductList-Body"/>
      </w:pPr>
      <w:r w:rsidRPr="00DD04E6">
        <w:rPr>
          <w:bCs/>
          <w:iCs/>
        </w:rPr>
        <w:t>„</w:t>
      </w:r>
      <w:r>
        <w:rPr>
          <w:b/>
          <w:iCs/>
          <w:color w:val="00188F"/>
        </w:rPr>
        <w:t>Ważne Żądania Klucza</w:t>
      </w:r>
      <w:r w:rsidRPr="00DD04E6">
        <w:rPr>
          <w:bCs/>
          <w:iCs/>
        </w:rPr>
        <w:t>”</w:t>
      </w:r>
      <w:r>
        <w:t xml:space="preserve"> to wszystkie żądania wykonane do Usługi Ochrony Treści na istniejące klucze treści w Usłudze Multimedialnej Klienta.</w:t>
      </w:r>
    </w:p>
    <w:p w14:paraId="0BC75864" w14:textId="77777777" w:rsidR="008E5959" w:rsidRPr="00FB368F" w:rsidRDefault="008E5959" w:rsidP="008E5959">
      <w:pPr>
        <w:pStyle w:val="ProductList-Body"/>
      </w:pPr>
    </w:p>
    <w:p w14:paraId="6DA41C83" w14:textId="291532FC"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BE6B584" w14:textId="77777777" w:rsidR="008E5959" w:rsidRPr="00FB368F" w:rsidRDefault="008E5959" w:rsidP="008E5959">
      <w:pPr>
        <w:pStyle w:val="ProductList-Body"/>
      </w:pPr>
    </w:p>
    <w:p w14:paraId="6CCE6064" w14:textId="364A383E" w:rsidR="008E5959" w:rsidRPr="00FB368F" w:rsidRDefault="0022155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454DB8E" w14:textId="305EAC0F" w:rsidR="008E5959" w:rsidRPr="00FB368F" w:rsidRDefault="008E5959" w:rsidP="008E5959">
      <w:pPr>
        <w:pStyle w:val="ProductList-Body"/>
      </w:pPr>
      <w:r>
        <w:rPr>
          <w:b/>
          <w:color w:val="00188F"/>
        </w:rPr>
        <w:t>Zniżka</w:t>
      </w:r>
      <w:r w:rsidRPr="0051169A">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8E5959" w:rsidRPr="009D0B2F" w14:paraId="4DE48B67" w14:textId="77777777" w:rsidTr="0058560E">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391"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0EB1D556" w14:textId="77777777" w:rsidTr="0058560E">
        <w:tc>
          <w:tcPr>
            <w:tcW w:w="5400" w:type="dxa"/>
          </w:tcPr>
          <w:p w14:paraId="53C4C256" w14:textId="5BB0A95F" w:rsidR="008E5959" w:rsidRPr="0076238C" w:rsidRDefault="008E5959" w:rsidP="00124F73">
            <w:pPr>
              <w:pStyle w:val="ProductList-OfferingBody"/>
              <w:jc w:val="center"/>
            </w:pPr>
            <w:r>
              <w:t>&lt; 99,9%</w:t>
            </w:r>
          </w:p>
        </w:tc>
        <w:tc>
          <w:tcPr>
            <w:tcW w:w="5391"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58560E">
        <w:tc>
          <w:tcPr>
            <w:tcW w:w="5400" w:type="dxa"/>
          </w:tcPr>
          <w:p w14:paraId="5751F4DF" w14:textId="235E92CE" w:rsidR="008E5959" w:rsidRPr="0076238C" w:rsidRDefault="008E5959" w:rsidP="00124F73">
            <w:pPr>
              <w:pStyle w:val="ProductList-OfferingBody"/>
              <w:jc w:val="center"/>
            </w:pPr>
            <w:r>
              <w:t>&lt; 99%</w:t>
            </w:r>
          </w:p>
        </w:tc>
        <w:tc>
          <w:tcPr>
            <w:tcW w:w="5391"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221550"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839ABA0" w14:textId="7D1E9BE1" w:rsidR="007F3377" w:rsidRPr="00F94543" w:rsidRDefault="007F3377" w:rsidP="007F3377">
      <w:pPr>
        <w:pStyle w:val="ProductList-Offering2Heading"/>
        <w:tabs>
          <w:tab w:val="clear" w:pos="360"/>
          <w:tab w:val="clear" w:pos="720"/>
          <w:tab w:val="clear" w:pos="1080"/>
        </w:tabs>
        <w:outlineLvl w:val="2"/>
        <w:rPr>
          <w:szCs w:val="28"/>
        </w:rPr>
      </w:pPr>
      <w:bookmarkStart w:id="61" w:name="_Toc418674136"/>
      <w:r w:rsidRPr="00F94543">
        <w:rPr>
          <w:szCs w:val="28"/>
        </w:rPr>
        <w:t>Usługi Mobilne</w:t>
      </w:r>
      <w:bookmarkEnd w:id="61"/>
    </w:p>
    <w:p w14:paraId="4779DF8F" w14:textId="77777777" w:rsidR="007F3377" w:rsidRPr="00FB368F" w:rsidRDefault="007F3377" w:rsidP="007F3377">
      <w:pPr>
        <w:pStyle w:val="ProductList-Body"/>
      </w:pPr>
      <w:r>
        <w:rPr>
          <w:b/>
          <w:color w:val="00188F"/>
        </w:rPr>
        <w:t>Dodatkowe definicje</w:t>
      </w:r>
      <w:r w:rsidRPr="0051169A">
        <w:rPr>
          <w:b/>
          <w:color w:val="00188F"/>
        </w:rPr>
        <w:t>:</w:t>
      </w:r>
    </w:p>
    <w:p w14:paraId="298240E6" w14:textId="77777777" w:rsidR="007F3377" w:rsidRPr="00FB368F" w:rsidRDefault="007F3377"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05008A21" w14:textId="77777777" w:rsidR="007F3377" w:rsidRDefault="007F3377" w:rsidP="007F3377">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2BE24B08" w14:textId="77777777" w:rsidR="00622035" w:rsidRDefault="00622035" w:rsidP="00622035">
      <w:pPr>
        <w:pStyle w:val="ProductList-Body"/>
      </w:pPr>
      <w:r>
        <w:t>„</w:t>
      </w:r>
      <w:r>
        <w:rPr>
          <w:b/>
          <w:color w:val="00188F"/>
        </w:rPr>
        <w:t>Ważne Żądania Klucza</w:t>
      </w:r>
      <w:r>
        <w:t>” to wszystkie żądania wykonane do Usługi Ochrony Treści na istniejące klucze treści w Usłudze Multimedialnej Klienta.</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221550"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22155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62" w:name="_Toc412532201"/>
      <w:bookmarkStart w:id="63" w:name="_Toc418674137"/>
      <w:r w:rsidRPr="00F94543">
        <w:rPr>
          <w:szCs w:val="28"/>
        </w:rPr>
        <w:t>Usługa Multi-Factor Authentication</w:t>
      </w:r>
      <w:bookmarkEnd w:id="62"/>
      <w:bookmarkEnd w:id="63"/>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22155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lastRenderedPageBreak/>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2155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64" w:name="_Toc418674138"/>
      <w:r w:rsidRPr="00F94543">
        <w:rPr>
          <w:szCs w:val="28"/>
        </w:rPr>
        <w:t>Wgląd w Dane Operacyjne</w:t>
      </w:r>
      <w:bookmarkEnd w:id="64"/>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221550" w:rsidP="00F94543">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221550"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65" w:name="_Toc418674139"/>
      <w:r w:rsidRPr="00F94543">
        <w:rPr>
          <w:szCs w:val="28"/>
        </w:rPr>
        <w:t>RemoteApp</w:t>
      </w:r>
      <w:bookmarkEnd w:id="65"/>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22155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22155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66" w:name="_Toc418674140"/>
      <w:r w:rsidRPr="00F94543">
        <w:rPr>
          <w:szCs w:val="28"/>
        </w:rPr>
        <w:lastRenderedPageBreak/>
        <w:t>Scheduler</w:t>
      </w:r>
      <w:bookmarkEnd w:id="66"/>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22155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2155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67" w:name="_Toc418674141"/>
      <w:r w:rsidRPr="00F94543">
        <w:rPr>
          <w:szCs w:val="28"/>
        </w:rPr>
        <w:t>Szukaj</w:t>
      </w:r>
      <w:bookmarkEnd w:id="67"/>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22155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13586AF" w14:textId="1F8676A9" w:rsidR="00662D1B" w:rsidRPr="00F94543" w:rsidRDefault="00662D1B" w:rsidP="00662D1B">
      <w:pPr>
        <w:pStyle w:val="ProductList-Offering2Heading"/>
        <w:tabs>
          <w:tab w:val="clear" w:pos="360"/>
          <w:tab w:val="clear" w:pos="720"/>
          <w:tab w:val="clear" w:pos="1080"/>
        </w:tabs>
        <w:outlineLvl w:val="2"/>
        <w:rPr>
          <w:szCs w:val="28"/>
        </w:rPr>
      </w:pPr>
      <w:bookmarkStart w:id="68" w:name="_Toc418674142"/>
      <w:r w:rsidRPr="00F94543">
        <w:rPr>
          <w:szCs w:val="28"/>
        </w:rPr>
        <w:t>Usługa Magistrali Usług – Przekaźniki</w:t>
      </w:r>
      <w:bookmarkEnd w:id="68"/>
    </w:p>
    <w:p w14:paraId="7D7C9EB8" w14:textId="77777777" w:rsidR="00662D1B" w:rsidRPr="00FB368F" w:rsidRDefault="00662D1B" w:rsidP="00662D1B">
      <w:pPr>
        <w:pStyle w:val="ProductList-Body"/>
      </w:pPr>
      <w:r>
        <w:rPr>
          <w:b/>
          <w:color w:val="00188F"/>
        </w:rPr>
        <w:t>Dodatkowe definicje</w:t>
      </w:r>
      <w:r w:rsidRPr="00A00019">
        <w:rPr>
          <w:b/>
          <w:color w:val="00188F"/>
        </w:rPr>
        <w:t>:</w:t>
      </w:r>
    </w:p>
    <w:p w14:paraId="1D7C066E" w14:textId="567E64DF" w:rsidR="00662D1B" w:rsidRPr="00FB368F" w:rsidRDefault="00662D1B" w:rsidP="00662D1B">
      <w:pPr>
        <w:pStyle w:val="ProductList-Body"/>
        <w:spacing w:after="40"/>
      </w:pPr>
      <w:r>
        <w:lastRenderedPageBreak/>
        <w:t>„</w:t>
      </w:r>
      <w:r>
        <w:rPr>
          <w:b/>
          <w:color w:val="00188F"/>
        </w:rPr>
        <w:t>Minuty Wdrożenia</w:t>
      </w:r>
      <w:r>
        <w:t>” oznaczają całkowitą liczbę minut, przez którą dany Przekaźnik został wdrożony w systemie Microsoft Azure w trakcie miesiąca rozliczeniowego.</w:t>
      </w:r>
    </w:p>
    <w:p w14:paraId="3A0F6C6C" w14:textId="4574D255" w:rsidR="00662D1B" w:rsidRPr="00FB368F" w:rsidRDefault="00662D1B" w:rsidP="007910ED">
      <w:pPr>
        <w:pStyle w:val="ProductList-Body"/>
      </w:pPr>
      <w:r>
        <w:t>„</w:t>
      </w:r>
      <w:r>
        <w:rPr>
          <w:b/>
          <w:color w:val="00188F"/>
        </w:rPr>
        <w:t>Maksymalne Dostępne Minuty</w:t>
      </w:r>
      <w:r>
        <w:t>” oznaczają sumę wszystkich Minut Wdrożenia dla wszystkich Przekaźników wdrożonych przez Klienta w ramach określonej subskrypcji Microsoft Azure w trakcie miesiąca rozliczeniowego.</w:t>
      </w:r>
    </w:p>
    <w:p w14:paraId="2DE85796" w14:textId="77777777" w:rsidR="00662D1B" w:rsidRPr="00FB368F" w:rsidRDefault="00662D1B" w:rsidP="007910ED">
      <w:pPr>
        <w:pStyle w:val="ProductList-Body"/>
      </w:pPr>
    </w:p>
    <w:p w14:paraId="261893A3" w14:textId="1F334BE4" w:rsidR="00662D1B" w:rsidRPr="00FB368F" w:rsidRDefault="00662D1B" w:rsidP="007910ED">
      <w:pPr>
        <w:pStyle w:val="ProductList-Body"/>
      </w:pPr>
      <w:r>
        <w:rPr>
          <w:b/>
          <w:color w:val="00188F"/>
        </w:rPr>
        <w:t>Przestój</w:t>
      </w:r>
      <w:r w:rsidRPr="0051169A">
        <w:rPr>
          <w:b/>
          <w:color w:val="00188F"/>
        </w:rPr>
        <w:t>:</w:t>
      </w:r>
      <w:r>
        <w:t xml:space="preserve"> Całkowita łączna liczba Minut Wdrożenia dla wszystkich Przekaźników wdrożonych przez Klienta w ramach określonej subskrypcji Microsoft Azure, w których czasie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517353F1" w14:textId="77777777" w:rsidR="00662D1B" w:rsidRPr="00FB368F" w:rsidRDefault="00662D1B" w:rsidP="007910ED">
      <w:pPr>
        <w:pStyle w:val="ProductList-Body"/>
      </w:pPr>
    </w:p>
    <w:p w14:paraId="5DC1ED0D" w14:textId="0DF32540" w:rsidR="00FB2E57" w:rsidRPr="00FB368F" w:rsidRDefault="00662D1B"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3AFF49F" w14:textId="77777777" w:rsidR="00FB2E57" w:rsidRPr="00FB368F" w:rsidRDefault="00FB2E57" w:rsidP="00FB2E57">
      <w:pPr>
        <w:pStyle w:val="ProductList-Body"/>
      </w:pPr>
    </w:p>
    <w:p w14:paraId="40485CFD" w14:textId="4FB855ED" w:rsidR="00FB2E57" w:rsidRPr="00FB368F" w:rsidRDefault="0022155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B2FD87" w:rsidR="00662D1B" w:rsidRPr="00FB368F" w:rsidRDefault="00662D1B"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550C28">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Zniżka</w:t>
            </w:r>
          </w:p>
        </w:tc>
      </w:tr>
      <w:tr w:rsidR="00662D1B" w:rsidRPr="009D0B2F" w14:paraId="481AABFD" w14:textId="77777777" w:rsidTr="00550C28">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550C28">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22155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AA1F58A" w14:textId="7EC7B8A1" w:rsidR="007910ED" w:rsidRPr="00F94543" w:rsidRDefault="007910ED" w:rsidP="007910ED">
      <w:pPr>
        <w:pStyle w:val="ProductList-Offering2Heading"/>
        <w:tabs>
          <w:tab w:val="clear" w:pos="360"/>
          <w:tab w:val="clear" w:pos="720"/>
          <w:tab w:val="clear" w:pos="1080"/>
        </w:tabs>
        <w:outlineLvl w:val="2"/>
        <w:rPr>
          <w:szCs w:val="28"/>
        </w:rPr>
      </w:pPr>
      <w:bookmarkStart w:id="69" w:name="_Toc418674143"/>
      <w:r w:rsidRPr="00F94543">
        <w:rPr>
          <w:szCs w:val="28"/>
        </w:rPr>
        <w:t>Usługa Magistrali Usług – Kolejki i Tematy</w:t>
      </w:r>
      <w:bookmarkEnd w:id="69"/>
    </w:p>
    <w:p w14:paraId="425584B3" w14:textId="77777777" w:rsidR="007910ED" w:rsidRPr="00FB368F" w:rsidRDefault="007910ED" w:rsidP="007910ED">
      <w:pPr>
        <w:pStyle w:val="ProductList-Body"/>
      </w:pPr>
      <w:r>
        <w:rPr>
          <w:b/>
          <w:color w:val="00188F"/>
        </w:rPr>
        <w:t>Dodatkowe definicje</w:t>
      </w:r>
      <w:r w:rsidRPr="0051169A">
        <w:rPr>
          <w:b/>
          <w:color w:val="00188F"/>
        </w:rPr>
        <w:t>:</w:t>
      </w:r>
    </w:p>
    <w:p w14:paraId="65D0B180" w14:textId="5E5A3CB2" w:rsidR="007910ED" w:rsidRPr="00FB368F" w:rsidRDefault="007910ED" w:rsidP="007910ED">
      <w:pPr>
        <w:pStyle w:val="ProductList-Body"/>
        <w:spacing w:after="40"/>
      </w:pPr>
      <w:r>
        <w:t>„</w:t>
      </w:r>
      <w:r>
        <w:rPr>
          <w:b/>
          <w:color w:val="00188F"/>
        </w:rPr>
        <w:t>Minuty Wdrożenia</w:t>
      </w:r>
      <w:r>
        <w:t>” oznaczają całkowitą liczbę minut, przez którą dana Kolejka lub dany Temat zostały wdrożone w systemie Microsoft Azure w</w:t>
      </w:r>
      <w:r w:rsidR="00C56CB4">
        <w:t> </w:t>
      </w:r>
      <w:r>
        <w:t>trakcie miesiąca rozliczeniowego.</w:t>
      </w:r>
    </w:p>
    <w:p w14:paraId="1236599D" w14:textId="4E7F0549" w:rsidR="007910ED" w:rsidRPr="00FB368F" w:rsidRDefault="007910ED" w:rsidP="007910ED">
      <w:pPr>
        <w:pStyle w:val="ProductList-Body"/>
        <w:spacing w:after="40"/>
      </w:pPr>
      <w:r>
        <w:t>„</w:t>
      </w:r>
      <w:r>
        <w:rPr>
          <w:b/>
          <w:color w:val="00188F"/>
        </w:rPr>
        <w:t>Maksymalne Dostępne Minuty</w:t>
      </w:r>
      <w:r>
        <w:t>” oznaczają sumę wszystkich Minut Wdrożenia dla wszystkich Kolejek i Tematów wdrożonych przez Klienta w</w:t>
      </w:r>
      <w:r w:rsidR="00C56CB4">
        <w:t> </w:t>
      </w:r>
      <w:r>
        <w:t>ramach określonej subskrypcji Microsoft Azure w trakcie miesiąca rozliczeniowego.</w:t>
      </w:r>
    </w:p>
    <w:p w14:paraId="726A04D8" w14:textId="77777777" w:rsidR="007910ED" w:rsidRPr="00FB368F" w:rsidRDefault="007910ED" w:rsidP="007910ED">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15501560" w14:textId="77777777" w:rsidR="007910ED" w:rsidRPr="00FB368F" w:rsidRDefault="007910ED" w:rsidP="007910ED">
      <w:pPr>
        <w:pStyle w:val="ProductList-Body"/>
      </w:pPr>
    </w:p>
    <w:p w14:paraId="4A1894E8" w14:textId="37B4F39E" w:rsidR="007910ED" w:rsidRPr="00FB368F" w:rsidRDefault="007910ED" w:rsidP="007910ED">
      <w:pPr>
        <w:pStyle w:val="ProductList-Body"/>
      </w:pPr>
      <w:r>
        <w:rPr>
          <w:b/>
          <w:color w:val="00188F"/>
        </w:rPr>
        <w:t>Przestój</w:t>
      </w:r>
      <w:r w:rsidRPr="0051169A">
        <w:rPr>
          <w:b/>
          <w:color w:val="00188F"/>
        </w:rPr>
        <w:t>:</w:t>
      </w:r>
      <w:r>
        <w:t xml:space="preserve"> Całkowita łączna liczba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4A9BB9DB" w14:textId="77777777" w:rsidR="007910ED" w:rsidRPr="00FB368F" w:rsidRDefault="007910ED" w:rsidP="007910ED">
      <w:pPr>
        <w:pStyle w:val="ProductList-Body"/>
      </w:pPr>
    </w:p>
    <w:p w14:paraId="1093100B" w14:textId="33F2CA7E"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DB2C51" w14:textId="77777777" w:rsidR="00FB2E57" w:rsidRPr="00FB368F" w:rsidRDefault="00FB2E57" w:rsidP="00FB2E57">
      <w:pPr>
        <w:pStyle w:val="ProductList-Body"/>
      </w:pPr>
    </w:p>
    <w:p w14:paraId="174013B8" w14:textId="388DA693" w:rsidR="00FB2E57" w:rsidRPr="00FB368F" w:rsidRDefault="0022155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87DD53C" w:rsidR="007910ED" w:rsidRPr="00FB368F" w:rsidRDefault="007910ED"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0C2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Zniżka</w:t>
            </w:r>
          </w:p>
        </w:tc>
      </w:tr>
      <w:tr w:rsidR="007910ED" w:rsidRPr="009D0B2F" w14:paraId="2A9113E3" w14:textId="77777777" w:rsidTr="00550C28">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550C28">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22155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FD0A1E6" w14:textId="4410346E" w:rsidR="007910ED" w:rsidRPr="00F94543" w:rsidRDefault="007910ED" w:rsidP="007910ED">
      <w:pPr>
        <w:pStyle w:val="ProductList-Offering2Heading"/>
        <w:tabs>
          <w:tab w:val="clear" w:pos="360"/>
          <w:tab w:val="clear" w:pos="720"/>
          <w:tab w:val="clear" w:pos="1080"/>
        </w:tabs>
        <w:outlineLvl w:val="2"/>
        <w:rPr>
          <w:szCs w:val="28"/>
        </w:rPr>
      </w:pPr>
      <w:bookmarkStart w:id="70" w:name="_Toc418674144"/>
      <w:r w:rsidRPr="00F94543">
        <w:rPr>
          <w:szCs w:val="28"/>
        </w:rPr>
        <w:t>Usługa Magistrali Usług – Centra Powiadomień</w:t>
      </w:r>
      <w:bookmarkEnd w:id="70"/>
    </w:p>
    <w:p w14:paraId="11DFD00C" w14:textId="77777777" w:rsidR="007910ED" w:rsidRPr="00FB368F" w:rsidRDefault="007910ED" w:rsidP="007910ED">
      <w:pPr>
        <w:pStyle w:val="ProductList-Body"/>
      </w:pPr>
      <w:r>
        <w:rPr>
          <w:b/>
          <w:color w:val="00188F"/>
        </w:rPr>
        <w:t>Dodatkowe definicje</w:t>
      </w:r>
      <w:r w:rsidRPr="0051169A">
        <w:rPr>
          <w:b/>
          <w:color w:val="00188F"/>
        </w:rPr>
        <w:t>:</w:t>
      </w:r>
    </w:p>
    <w:p w14:paraId="523D0784" w14:textId="2F39C413" w:rsidR="007910ED" w:rsidRPr="00FB368F" w:rsidRDefault="007910ED" w:rsidP="007910ED">
      <w:pPr>
        <w:pStyle w:val="ProductList-Body"/>
        <w:spacing w:after="40"/>
      </w:pPr>
      <w:r>
        <w:t>„</w:t>
      </w:r>
      <w:r>
        <w:rPr>
          <w:b/>
          <w:color w:val="00188F"/>
        </w:rPr>
        <w:t>Minuty Wdrożenia</w:t>
      </w:r>
      <w:r>
        <w:t>” oznaczają całkowitą liczbę minut, przez którą dane Centrum Powiadomień zostało wdrożone w systemie Microsoft Azure w</w:t>
      </w:r>
      <w:r w:rsidR="009F7BA0">
        <w:t> </w:t>
      </w:r>
      <w:r>
        <w:t>trakcie miesiąca rozliczeniowego.</w:t>
      </w:r>
    </w:p>
    <w:p w14:paraId="0A5644C6" w14:textId="176CD4F7" w:rsidR="007910ED" w:rsidRPr="00FB368F" w:rsidRDefault="007910ED" w:rsidP="00FB2E57">
      <w:pPr>
        <w:pStyle w:val="ProductList-Body"/>
      </w:pPr>
      <w:r>
        <w:t>„</w:t>
      </w:r>
      <w:r>
        <w:rPr>
          <w:b/>
          <w:color w:val="00188F"/>
        </w:rPr>
        <w:t>Maksymalne Dostępne Minuty</w:t>
      </w:r>
      <w:r>
        <w:t>” oznaczają sumę wszystkich Minut Wdrożenia dla wszystkich Centrów Powiadomień wdrożonych przez Klienta w</w:t>
      </w:r>
      <w:r w:rsidR="009F7BA0">
        <w:t> </w:t>
      </w:r>
      <w:r>
        <w:t>ramach określonej subskrypcji Microsoft Azure na podstawie Podstawowego lub Standardowego poziomu usługi Centrów Powiadomień w</w:t>
      </w:r>
      <w:r w:rsidR="009F7BA0">
        <w:t> </w:t>
      </w:r>
      <w:r>
        <w:t>trakcie miesiąca rozliczeniowego.</w:t>
      </w:r>
    </w:p>
    <w:p w14:paraId="4D08F446" w14:textId="77777777" w:rsidR="007910ED" w:rsidRPr="00FB368F" w:rsidRDefault="007910ED" w:rsidP="007910ED">
      <w:pPr>
        <w:pStyle w:val="ProductList-Body"/>
      </w:pPr>
    </w:p>
    <w:p w14:paraId="6B8FF473" w14:textId="0D3F290D" w:rsidR="007910ED" w:rsidRPr="00FB368F" w:rsidRDefault="007910ED" w:rsidP="007910ED">
      <w:pPr>
        <w:pStyle w:val="ProductList-Body"/>
      </w:pPr>
      <w:r>
        <w:rPr>
          <w:b/>
          <w:color w:val="00188F"/>
        </w:rPr>
        <w:lastRenderedPageBreak/>
        <w:t>Przestój</w:t>
      </w:r>
      <w:r w:rsidRPr="0051169A">
        <w:rPr>
          <w:b/>
          <w:color w:val="00188F"/>
        </w:rPr>
        <w:t>:</w:t>
      </w:r>
      <w:r>
        <w:t xml:space="preserve"> Całkowita łączna liczba wszystkich Minut Wdrożenia dla wszystkich Centrów Powiadomień wdrożonych przez Klienta w ramach określonej subskrypcji Microsoft Azure na podstawie Podstawowego lub Standardowego poziomu usługi Centrów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CA1C383" w14:textId="77777777" w:rsidR="007910ED" w:rsidRPr="00FB368F" w:rsidRDefault="007910ED" w:rsidP="007910ED">
      <w:pPr>
        <w:pStyle w:val="ProductList-Body"/>
      </w:pPr>
    </w:p>
    <w:p w14:paraId="2EEA7AAB" w14:textId="4B169E28"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70D180" w14:textId="77777777" w:rsidR="00FB2E57" w:rsidRPr="00FB368F" w:rsidRDefault="00FB2E57" w:rsidP="00FB2E57">
      <w:pPr>
        <w:pStyle w:val="ProductList-Body"/>
      </w:pPr>
    </w:p>
    <w:p w14:paraId="27222479" w14:textId="10206F31" w:rsidR="00FB2E57" w:rsidRPr="00FB368F" w:rsidRDefault="0022155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44F02541" w:rsidR="007910ED" w:rsidRPr="00FB368F" w:rsidRDefault="007910ED" w:rsidP="00622035">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550C28">
        <w:trPr>
          <w:tblHeader/>
        </w:trPr>
        <w:tc>
          <w:tcPr>
            <w:tcW w:w="5400" w:type="dxa"/>
            <w:shd w:val="clear" w:color="auto" w:fill="0072C6"/>
          </w:tcPr>
          <w:p w14:paraId="76242B4B" w14:textId="77777777" w:rsidR="007910ED" w:rsidRPr="001A0074" w:rsidRDefault="007910ED" w:rsidP="0062203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49DDFF8" w14:textId="77777777" w:rsidR="007910ED" w:rsidRPr="001A0074" w:rsidRDefault="007910ED" w:rsidP="00622035">
            <w:pPr>
              <w:pStyle w:val="ProductList-OfferingBody"/>
              <w:keepNext/>
              <w:jc w:val="center"/>
              <w:rPr>
                <w:color w:val="FFFFFF" w:themeColor="background1"/>
              </w:rPr>
            </w:pPr>
            <w:r>
              <w:rPr>
                <w:color w:val="FFFFFF" w:themeColor="background1"/>
              </w:rPr>
              <w:t>Zniżka</w:t>
            </w:r>
          </w:p>
        </w:tc>
      </w:tr>
      <w:tr w:rsidR="007910ED" w:rsidRPr="009D0B2F" w14:paraId="16E7B856" w14:textId="77777777" w:rsidTr="00550C28">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550C28">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549250B1" w:rsidR="00FB2E57" w:rsidRPr="00FB368F" w:rsidRDefault="00FB2E57" w:rsidP="00FB2E57">
      <w:pPr>
        <w:pStyle w:val="ProductList-Body"/>
      </w:pPr>
      <w:r>
        <w:rPr>
          <w:b/>
          <w:color w:val="00188F"/>
        </w:rPr>
        <w:t>Wyjątki Poziomu Usługi</w:t>
      </w:r>
      <w:r w:rsidRPr="0051169A">
        <w:rPr>
          <w:b/>
          <w:color w:val="00188F"/>
        </w:rPr>
        <w:t>:</w:t>
      </w:r>
      <w:r>
        <w:t xml:space="preserve"> Poziomy Usługi i Zniżki mają zastosowanie do korzystania przez Klienta z Podstawowego i Standardowego poziomu usługi Centrów Powiadomień. Poziom Bezpłatny Centrów Powiadomień nie podlega niniejszej Umowie Dotyczącej Poziomu Usługi.</w:t>
      </w:r>
    </w:p>
    <w:p w14:paraId="077BFB19" w14:textId="2DFC47B3" w:rsidR="007910ED" w:rsidRPr="00FB368F" w:rsidRDefault="0022155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719625" w14:textId="5AE9906A" w:rsidR="00FB2E57" w:rsidRPr="00F94543" w:rsidRDefault="00FB2E57" w:rsidP="00FB2E57">
      <w:pPr>
        <w:pStyle w:val="ProductList-Offering2Heading"/>
        <w:tabs>
          <w:tab w:val="clear" w:pos="360"/>
          <w:tab w:val="clear" w:pos="720"/>
          <w:tab w:val="clear" w:pos="1080"/>
        </w:tabs>
        <w:outlineLvl w:val="2"/>
        <w:rPr>
          <w:szCs w:val="28"/>
        </w:rPr>
      </w:pPr>
      <w:bookmarkStart w:id="71" w:name="_Toc418674145"/>
      <w:r w:rsidRPr="00F94543">
        <w:rPr>
          <w:szCs w:val="28"/>
        </w:rPr>
        <w:t>Usługa Magistrali Usług – Centra Zdarzeń</w:t>
      </w:r>
      <w:bookmarkEnd w:id="71"/>
    </w:p>
    <w:p w14:paraId="3699B8CC" w14:textId="77777777" w:rsidR="00FB2E57" w:rsidRPr="00C939D4" w:rsidRDefault="00FB2E57" w:rsidP="00FB2E57">
      <w:pPr>
        <w:pStyle w:val="ProductList-Body"/>
        <w:rPr>
          <w:b/>
        </w:rPr>
      </w:pPr>
      <w:r>
        <w:rPr>
          <w:b/>
          <w:color w:val="00188F"/>
        </w:rPr>
        <w:t>Dodatkowe definicje</w:t>
      </w:r>
      <w:r w:rsidRPr="0051169A">
        <w:rPr>
          <w:b/>
          <w:color w:val="00188F"/>
        </w:rPr>
        <w:t>:</w:t>
      </w:r>
    </w:p>
    <w:p w14:paraId="42533C28" w14:textId="3E9E2250" w:rsidR="00FB2E57" w:rsidRPr="00FB368F" w:rsidRDefault="00FB2E57" w:rsidP="00FB2E57">
      <w:pPr>
        <w:pStyle w:val="ProductList-Body"/>
        <w:spacing w:after="40"/>
      </w:pPr>
      <w:r>
        <w:t>„</w:t>
      </w:r>
      <w:r>
        <w:rPr>
          <w:b/>
          <w:color w:val="00188F"/>
        </w:rPr>
        <w:t>Minuty Wdrożenia</w:t>
      </w:r>
      <w:r>
        <w:t>” oznaczają całkowitą liczbę minut, przez którą dane Centrum Zdarzeń zostało wdrożone w systemie Microsoft Azure w trakcie miesiąca rozliczeniowego.</w:t>
      </w:r>
    </w:p>
    <w:p w14:paraId="0E37A067" w14:textId="7B12CA88" w:rsidR="00FB2E57" w:rsidRPr="00FB368F" w:rsidRDefault="00FB2E57" w:rsidP="00FB2E57">
      <w:pPr>
        <w:pStyle w:val="ProductList-Body"/>
        <w:spacing w:after="40"/>
      </w:pPr>
      <w:r>
        <w:t>„</w:t>
      </w:r>
      <w:r>
        <w:rPr>
          <w:b/>
          <w:color w:val="00188F"/>
        </w:rPr>
        <w:t>Maksymalne Dostępne Minuty</w:t>
      </w:r>
      <w:r>
        <w:t>” oznaczają sumę wszystkich Minut Wdrożenia dla wszystkich Centrów Zdarzeń wdrożonych przez Klienta w</w:t>
      </w:r>
      <w:r w:rsidR="00C939D4">
        <w:t> </w:t>
      </w:r>
      <w:r>
        <w:t>ramach określonej subskrypcji Microsoft Azure na podstawie Podstawowego lub Standardowego poziomu usługi Centrów Powiadomień w</w:t>
      </w:r>
      <w:r w:rsidR="00C939D4">
        <w:t> </w:t>
      </w:r>
      <w:r>
        <w:t>trakcie miesiąca rozliczeniowego.</w:t>
      </w:r>
    </w:p>
    <w:p w14:paraId="0711490B" w14:textId="63080A94" w:rsidR="00FB2E57" w:rsidRPr="00FB368F" w:rsidRDefault="00FB2E57" w:rsidP="00FB2E57">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3D2BD242" w14:textId="77777777" w:rsidR="00FB2E57" w:rsidRPr="00FB368F" w:rsidRDefault="00FB2E57" w:rsidP="00FB2E57">
      <w:pPr>
        <w:pStyle w:val="ProductList-Body"/>
      </w:pPr>
    </w:p>
    <w:p w14:paraId="552E0EB5" w14:textId="6B20F74D" w:rsidR="00FB2E57" w:rsidRPr="00FB368F" w:rsidRDefault="00FB2E57" w:rsidP="00FB2E57">
      <w:pPr>
        <w:pStyle w:val="ProductList-Body"/>
      </w:pPr>
      <w:r>
        <w:rPr>
          <w:b/>
          <w:color w:val="00188F"/>
        </w:rPr>
        <w:t>Przestój</w:t>
      </w:r>
      <w:r w:rsidRPr="0051169A">
        <w:rPr>
          <w:b/>
          <w:color w:val="00188F"/>
        </w:rPr>
        <w:t>:</w:t>
      </w:r>
      <w:r>
        <w:t xml:space="preserve"> Całkowita łączna liczba wszystkich Minut Wdrożenia dla wszystkich Centrów Zdarzeń wdrożonych przez Klienta w ramach określonej subskrypcji Microsoft Azure na podstawie Podstawowego lub Standardowego poziomu usługi Centrów Zdarzeń, w których czasie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62F722B3" w14:textId="77777777" w:rsidR="00FB2E57" w:rsidRPr="00FB368F" w:rsidRDefault="00FB2E57" w:rsidP="00FB2E57">
      <w:pPr>
        <w:pStyle w:val="ProductList-Body"/>
      </w:pPr>
    </w:p>
    <w:p w14:paraId="3DFB0AEA" w14:textId="6ABC3B22" w:rsidR="00FB2E57" w:rsidRPr="00FB368F" w:rsidRDefault="00FB2E57"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2DE7D56" w14:textId="77777777" w:rsidR="00FB2E57" w:rsidRPr="00FB368F" w:rsidRDefault="00FB2E57" w:rsidP="00FB2E57">
      <w:pPr>
        <w:pStyle w:val="ProductList-Body"/>
      </w:pPr>
    </w:p>
    <w:p w14:paraId="0C7B2D47" w14:textId="42A4AD3F" w:rsidR="00FB2E57" w:rsidRPr="00FB368F" w:rsidRDefault="0022155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77388BA" w:rsidR="00FB2E57" w:rsidRPr="00C939D4" w:rsidRDefault="00FB2E57" w:rsidP="00FB2E57">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50C28">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Zniżka</w:t>
            </w:r>
          </w:p>
        </w:tc>
      </w:tr>
      <w:tr w:rsidR="00FB2E57" w:rsidRPr="009D0B2F" w14:paraId="74CC781D" w14:textId="77777777" w:rsidTr="00550C28">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550C28">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656EC07" w:rsidR="00FB2E57" w:rsidRPr="00FB368F" w:rsidRDefault="00FB2E57" w:rsidP="00FB2E57">
      <w:pPr>
        <w:pStyle w:val="ProductList-Body"/>
      </w:pPr>
      <w:r>
        <w:rPr>
          <w:b/>
          <w:color w:val="00188F"/>
        </w:rPr>
        <w:t>Wyjątki Poziomu Usługi</w:t>
      </w:r>
      <w:r w:rsidRPr="0051169A">
        <w:rPr>
          <w:b/>
          <w:color w:val="00188F"/>
        </w:rPr>
        <w:t>:</w:t>
      </w:r>
      <w:r>
        <w:t xml:space="preserve"> </w:t>
      </w:r>
      <w:r>
        <w:rPr>
          <w:szCs w:val="18"/>
        </w:rPr>
        <w:t>Poziomy Usługi i Zniżki mają zastosowanie do korzystania przez Klienta z Podstawowego i Standardowego poziomu usługi Centrów Zdarzeń. Poziom Bezpłatny Centrów Zdarzeń nie podlega niniejszej Umowie Dotyczącej Poziomu Usługi</w:t>
      </w:r>
      <w:r>
        <w:t>.</w:t>
      </w:r>
    </w:p>
    <w:p w14:paraId="62A714D6" w14:textId="2E2E8D63" w:rsidR="00FB2E57" w:rsidRPr="00FB368F" w:rsidRDefault="0022155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72" w:name="_Toc412532208"/>
      <w:bookmarkStart w:id="73" w:name="_Toc418674146"/>
      <w:r w:rsidRPr="00F94543">
        <w:rPr>
          <w:szCs w:val="28"/>
        </w:rPr>
        <w:t>Usługa Przywracania Witryn – ze środowiska lokalnego do systemu Azure</w:t>
      </w:r>
      <w:bookmarkEnd w:id="72"/>
      <w:bookmarkEnd w:id="73"/>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lastRenderedPageBreak/>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22155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74" w:name="_Toc412532209"/>
      <w:bookmarkStart w:id="75" w:name="_Toc418674147"/>
      <w:r w:rsidRPr="00F94543">
        <w:rPr>
          <w:szCs w:val="28"/>
        </w:rPr>
        <w:t>Usługa Przywracania Witryn – ze środowiska lokalnego do środowiska lokalnego</w:t>
      </w:r>
      <w:bookmarkEnd w:id="74"/>
      <w:bookmarkEnd w:id="75"/>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221550"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C202AE">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lastRenderedPageBreak/>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22155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76" w:name="_Toc414887416"/>
      <w:bookmarkStart w:id="77" w:name="_Toc412532210"/>
      <w:bookmarkStart w:id="78" w:name="_Toc418674148"/>
      <w:r w:rsidRPr="00F94543">
        <w:rPr>
          <w:szCs w:val="28"/>
        </w:rPr>
        <w:t>Analiza Strumienia – Wywołania API</w:t>
      </w:r>
      <w:bookmarkEnd w:id="76"/>
      <w:bookmarkEnd w:id="78"/>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221550"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79" w:name="_Toc414887417"/>
      <w:bookmarkStart w:id="80" w:name="_Toc418674149"/>
      <w:r w:rsidRPr="00F94543">
        <w:rPr>
          <w:szCs w:val="28"/>
        </w:rPr>
        <w:t>Analiza Strumienia – Zadania</w:t>
      </w:r>
      <w:bookmarkEnd w:id="79"/>
      <w:bookmarkEnd w:id="80"/>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221550"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221550"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42D5D9EB" w14:textId="0E291335" w:rsidR="005D4A94" w:rsidRPr="00F94543" w:rsidRDefault="005D4A94" w:rsidP="005D4A94">
      <w:pPr>
        <w:pStyle w:val="ProductList-Offering2Heading"/>
        <w:tabs>
          <w:tab w:val="clear" w:pos="360"/>
          <w:tab w:val="clear" w:pos="720"/>
          <w:tab w:val="clear" w:pos="1080"/>
        </w:tabs>
        <w:outlineLvl w:val="2"/>
        <w:rPr>
          <w:szCs w:val="28"/>
        </w:rPr>
      </w:pPr>
      <w:bookmarkStart w:id="81" w:name="_Toc418674150"/>
      <w:r w:rsidRPr="00F94543">
        <w:rPr>
          <w:szCs w:val="28"/>
        </w:rPr>
        <w:t>Usługa Baz Danych SQL (Poziomy usługi Web i Business)</w:t>
      </w:r>
      <w:bookmarkEnd w:id="77"/>
      <w:bookmarkEnd w:id="81"/>
    </w:p>
    <w:p w14:paraId="2115DEF2" w14:textId="77777777" w:rsidR="005D4A94" w:rsidRPr="00FB368F" w:rsidRDefault="005D4A94" w:rsidP="005D4A94">
      <w:pPr>
        <w:pStyle w:val="ProductList-Body"/>
      </w:pPr>
      <w:r>
        <w:rPr>
          <w:b/>
          <w:color w:val="00188F"/>
        </w:rPr>
        <w:t>Dodatkowe definicje</w:t>
      </w:r>
      <w:r w:rsidRPr="0051169A">
        <w:rPr>
          <w:b/>
          <w:color w:val="00188F"/>
        </w:rPr>
        <w:t>:</w:t>
      </w:r>
    </w:p>
    <w:p w14:paraId="0D8DFC71" w14:textId="77777777" w:rsidR="005D4A94" w:rsidRPr="00FB368F" w:rsidRDefault="005D4A94" w:rsidP="005D4A94">
      <w:pPr>
        <w:pStyle w:val="ProductList-Body"/>
        <w:spacing w:after="40"/>
      </w:pPr>
      <w:r>
        <w:t>„</w:t>
      </w:r>
      <w:r>
        <w:rPr>
          <w:b/>
          <w:color w:val="00188F"/>
        </w:rPr>
        <w:t>Baza Danych</w:t>
      </w:r>
      <w:r>
        <w:t>” oznacza dowolną Bazę Danych SQL systemu Microsoft Azure na poziomach usługi Web (Internetowy) lub Business (Biznesowy).</w:t>
      </w:r>
    </w:p>
    <w:p w14:paraId="1B1A375F" w14:textId="77777777" w:rsidR="005D4A94" w:rsidRPr="00FB368F" w:rsidRDefault="005D4A94" w:rsidP="005D4A94">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57CAF374" w14:textId="77777777" w:rsidR="005D4A94" w:rsidRPr="00FB368F" w:rsidRDefault="005D4A94" w:rsidP="005D4A94">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13EFE175" w14:textId="77777777" w:rsidR="005D4A94" w:rsidRPr="00FB368F" w:rsidRDefault="005D4A94" w:rsidP="005D4A94">
      <w:pPr>
        <w:pStyle w:val="ProductList-Body"/>
      </w:pPr>
    </w:p>
    <w:p w14:paraId="03253840" w14:textId="26DAAA22" w:rsidR="005D4A94" w:rsidRPr="00FB368F" w:rsidRDefault="005D4A94" w:rsidP="005D4A94">
      <w:pPr>
        <w:pStyle w:val="ProductList-Body"/>
      </w:pPr>
      <w:r>
        <w:rPr>
          <w:b/>
          <w:color w:val="00188F"/>
        </w:rPr>
        <w:lastRenderedPageBreak/>
        <w:t>Przestój</w:t>
      </w:r>
      <w:r w:rsidRPr="0051169A">
        <w:rPr>
          <w:b/>
          <w:color w:val="00188F"/>
        </w:rPr>
        <w:t>:</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minuty kończą się niepowodzeniem.</w:t>
      </w:r>
    </w:p>
    <w:p w14:paraId="4CD38A86" w14:textId="77777777" w:rsidR="00A20C8D" w:rsidRPr="00FB368F" w:rsidRDefault="00A20C8D" w:rsidP="005D4A94">
      <w:pPr>
        <w:pStyle w:val="ProductList-Body"/>
      </w:pPr>
    </w:p>
    <w:p w14:paraId="45EB9936" w14:textId="2DBDB458"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A617BAA" w14:textId="77777777" w:rsidR="005D4A94" w:rsidRPr="00A20C8D" w:rsidRDefault="005D4A94" w:rsidP="005D4A94">
      <w:pPr>
        <w:pStyle w:val="ProductList-Body"/>
        <w:rPr>
          <w:sz w:val="16"/>
          <w:szCs w:val="16"/>
        </w:rPr>
      </w:pPr>
    </w:p>
    <w:p w14:paraId="08D231CE" w14:textId="66F72D4C" w:rsidR="005D4A94" w:rsidRPr="00FB368F" w:rsidRDefault="00221550"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50C28">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45EA80CE" w14:textId="77777777" w:rsidTr="00550C28">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50C28">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22155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C91813F" w14:textId="275492FE" w:rsidR="005D4A94" w:rsidRPr="00F94543" w:rsidRDefault="005D4A94" w:rsidP="005D4A94">
      <w:pPr>
        <w:pStyle w:val="ProductList-Offering2Heading"/>
        <w:tabs>
          <w:tab w:val="clear" w:pos="360"/>
          <w:tab w:val="clear" w:pos="720"/>
          <w:tab w:val="clear" w:pos="1080"/>
        </w:tabs>
        <w:outlineLvl w:val="2"/>
        <w:rPr>
          <w:szCs w:val="28"/>
        </w:rPr>
      </w:pPr>
      <w:bookmarkStart w:id="82" w:name="_Toc418674151"/>
      <w:r w:rsidRPr="00F94543">
        <w:rPr>
          <w:szCs w:val="28"/>
        </w:rPr>
        <w:t>Usługa Baz Danych SQL (Poziomy usługi Basic, Standard i Premium)</w:t>
      </w:r>
      <w:bookmarkEnd w:id="82"/>
    </w:p>
    <w:p w14:paraId="4517FA18" w14:textId="77777777" w:rsidR="005D4A94" w:rsidRPr="00FB368F" w:rsidRDefault="005D4A94" w:rsidP="005D4A94">
      <w:pPr>
        <w:pStyle w:val="ProductList-Body"/>
      </w:pPr>
      <w:r>
        <w:rPr>
          <w:b/>
          <w:color w:val="00188F"/>
        </w:rPr>
        <w:t>Dodatkowe definicje</w:t>
      </w:r>
      <w:r w:rsidRPr="0051169A">
        <w:rPr>
          <w:b/>
          <w:color w:val="00188F"/>
        </w:rPr>
        <w:t>:</w:t>
      </w:r>
    </w:p>
    <w:p w14:paraId="43E24B00" w14:textId="1CF302E9" w:rsidR="005D4A94" w:rsidRPr="00FB368F" w:rsidRDefault="005D4A94" w:rsidP="005D4A94">
      <w:pPr>
        <w:pStyle w:val="ProductList-Body"/>
        <w:spacing w:after="40"/>
      </w:pPr>
      <w:r>
        <w:t>„</w:t>
      </w:r>
      <w:r>
        <w:rPr>
          <w:b/>
          <w:color w:val="00188F"/>
        </w:rPr>
        <w:t>Baza Danych</w:t>
      </w:r>
      <w:r>
        <w:t>” oznacza dowolną Bazę Danych SQL systemu Microsoft Azure na poziomach usługi Basic (Podstawowy), Standard (Standardowy) lub</w:t>
      </w:r>
      <w:r w:rsidR="00A20C8D">
        <w:t> </w:t>
      </w:r>
      <w:r>
        <w:t>Premium.</w:t>
      </w:r>
    </w:p>
    <w:p w14:paraId="5B64287F" w14:textId="22D494BA" w:rsidR="005D4A94" w:rsidRPr="00FB368F" w:rsidRDefault="005D4A94" w:rsidP="005D4A94">
      <w:pPr>
        <w:pStyle w:val="ProductList-Body"/>
        <w:spacing w:after="40"/>
      </w:pPr>
      <w:r>
        <w:t>„</w:t>
      </w:r>
      <w:r>
        <w:rPr>
          <w:b/>
          <w:color w:val="00188F"/>
        </w:rPr>
        <w:t>Minuty Wdrożenia</w:t>
      </w:r>
      <w:r>
        <w:t>” oznaczają całkowitą liczbę minut, przez którą dana Baza Danych Basic, Standard lub Premium została wdrożona w systemie Microsoft Azure w trakcie miesiąca rozliczeniowego.</w:t>
      </w:r>
    </w:p>
    <w:p w14:paraId="2C7286C0" w14:textId="49FC3994" w:rsidR="005D4A94" w:rsidRPr="00FB368F" w:rsidRDefault="005D4A94" w:rsidP="005D4A94">
      <w:pPr>
        <w:pStyle w:val="ProductList-Body"/>
      </w:pPr>
      <w:r>
        <w:t>„</w:t>
      </w:r>
      <w:r>
        <w:rPr>
          <w:b/>
          <w:color w:val="00188F"/>
        </w:rPr>
        <w:t>Maksymalne Dostępne Minuty</w:t>
      </w:r>
      <w:r>
        <w:t>” oznaczają sumę wszystkich Minut Wdrożenia dla wszystkich Baz Danych Basic, Standard i Premium dla danej subskrypcji Microsoft Azure w trakcie miesiąca rozliczeniowego.</w:t>
      </w:r>
    </w:p>
    <w:p w14:paraId="40A83BD5" w14:textId="77777777" w:rsidR="005D4A94" w:rsidRPr="00A20C8D" w:rsidRDefault="005D4A94" w:rsidP="005D4A94">
      <w:pPr>
        <w:pStyle w:val="ProductList-Body"/>
        <w:rPr>
          <w:sz w:val="16"/>
          <w:szCs w:val="16"/>
        </w:rPr>
      </w:pPr>
    </w:p>
    <w:p w14:paraId="110C2A2E" w14:textId="0FEB08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Basic, Standard lub Premium wdrożonych przez Klienta w ramach określonej subskrypcji Microsoft Azure, w których czasie Baza Danych jest niedostępna. Minuta jest uznawana za niedostępną dla danej Bazy Danych, jeśli wszystkie następujące po sobie próby nawiązania przez Klienta połączenia z Bazą Danych w ciągu minuty kończą się niepowodzeniem.</w:t>
      </w:r>
    </w:p>
    <w:p w14:paraId="1ABAEB59" w14:textId="77777777" w:rsidR="005D4A94" w:rsidRPr="00A20C8D" w:rsidRDefault="005D4A94" w:rsidP="005D4A94">
      <w:pPr>
        <w:pStyle w:val="ProductList-Body"/>
        <w:rPr>
          <w:sz w:val="16"/>
          <w:szCs w:val="16"/>
        </w:rPr>
      </w:pPr>
    </w:p>
    <w:p w14:paraId="0FE3777F" w14:textId="46A3A8F6"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46C0586" w14:textId="77777777" w:rsidR="005D4A94" w:rsidRPr="00A20C8D" w:rsidRDefault="005D4A94" w:rsidP="005D4A94">
      <w:pPr>
        <w:pStyle w:val="ProductList-Body"/>
        <w:rPr>
          <w:sz w:val="16"/>
          <w:szCs w:val="16"/>
        </w:rPr>
      </w:pPr>
    </w:p>
    <w:p w14:paraId="5F1CBCF8" w14:textId="1C0FB392" w:rsidR="005D4A94" w:rsidRPr="00FB368F" w:rsidRDefault="00221550"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50C28">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2471CE4D" w14:textId="77777777" w:rsidTr="00550C28">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50C28">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22155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83" w:name="_Toc418674152"/>
      <w:r w:rsidRPr="00F94543">
        <w:rPr>
          <w:szCs w:val="28"/>
        </w:rPr>
        <w:t>Usługa Pamięci Masowej</w:t>
      </w:r>
      <w:bookmarkEnd w:id="83"/>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lastRenderedPageBreak/>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22155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84" w:name="_Toc412532213"/>
      <w:bookmarkStart w:id="85" w:name="_Toc418674153"/>
      <w:r w:rsidRPr="00F94543">
        <w:rPr>
          <w:szCs w:val="28"/>
        </w:rPr>
        <w:t>Usługa StorSimple</w:t>
      </w:r>
      <w:bookmarkEnd w:id="84"/>
      <w:bookmarkEnd w:id="85"/>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22155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2155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86" w:name="_Toc412532214"/>
      <w:bookmarkStart w:id="87" w:name="_Toc418674154"/>
      <w:r w:rsidRPr="00F94543">
        <w:rPr>
          <w:szCs w:val="28"/>
        </w:rPr>
        <w:t>Usługa Menedżera Ruchu</w:t>
      </w:r>
      <w:bookmarkEnd w:id="86"/>
      <w:bookmarkEnd w:id="87"/>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FB368F" w:rsidRDefault="001E0407" w:rsidP="001E0407">
      <w:pPr>
        <w:pStyle w:val="ProductList-Body"/>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FB368F" w:rsidRDefault="001E0407" w:rsidP="001E0407">
      <w:pPr>
        <w:pStyle w:val="ProductList-Body"/>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FB368F" w:rsidRDefault="001E0407" w:rsidP="001E0407">
      <w:pPr>
        <w:pStyle w:val="ProductList-Body"/>
      </w:pPr>
    </w:p>
    <w:p w14:paraId="004CAB87" w14:textId="020CD129" w:rsidR="001E0407" w:rsidRPr="00FB368F" w:rsidRDefault="0022155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2155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88" w:name="_Toc412532215"/>
      <w:bookmarkStart w:id="89" w:name="_Toc418674155"/>
      <w:r w:rsidRPr="00F94543">
        <w:rPr>
          <w:szCs w:val="28"/>
        </w:rPr>
        <w:t>Maszyny Wirtualne</w:t>
      </w:r>
      <w:bookmarkEnd w:id="88"/>
      <w:bookmarkEnd w:id="89"/>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22155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A6175">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A617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A6175">
            <w:pPr>
              <w:pStyle w:val="ProductList-OfferingBody"/>
              <w:keepNext/>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A6175">
            <w:pPr>
              <w:pStyle w:val="ProductList-OfferingBody"/>
              <w:keepNext/>
              <w:jc w:val="center"/>
            </w:pPr>
            <w:r>
              <w:t>&lt; 99,95%</w:t>
            </w:r>
          </w:p>
        </w:tc>
        <w:tc>
          <w:tcPr>
            <w:tcW w:w="5400" w:type="dxa"/>
          </w:tcPr>
          <w:p w14:paraId="52C00367" w14:textId="77777777" w:rsidR="001E0407" w:rsidRPr="0076238C" w:rsidRDefault="001E0407" w:rsidP="008A6175">
            <w:pPr>
              <w:pStyle w:val="ProductList-OfferingBody"/>
              <w:keepNext/>
              <w:jc w:val="center"/>
            </w:pPr>
            <w:r>
              <w:t>10%</w:t>
            </w:r>
          </w:p>
        </w:tc>
      </w:tr>
      <w:tr w:rsidR="001E0407" w:rsidRPr="009D0B2F" w14:paraId="19BB0C7D" w14:textId="77777777" w:rsidTr="00550C2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2155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90" w:name="_Toc418674156"/>
      <w:r w:rsidRPr="00F94543">
        <w:rPr>
          <w:szCs w:val="28"/>
        </w:rPr>
        <w:t>Brama VPN</w:t>
      </w:r>
      <w:bookmarkEnd w:id="90"/>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91" w:name="SiećWirtualna"/>
      <w:r>
        <w:rPr>
          <w:b/>
          <w:color w:val="00188F"/>
        </w:rPr>
        <w:t>Sieć Wirtualna</w:t>
      </w:r>
      <w:bookmarkEnd w:id="91"/>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92" w:name="BramaVPN"/>
      <w:r>
        <w:rPr>
          <w:b/>
          <w:color w:val="00188F"/>
        </w:rPr>
        <w:t>Brama VPN</w:t>
      </w:r>
      <w:bookmarkEnd w:id="92"/>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Default="00F94543" w:rsidP="00F94543">
      <w:pPr>
        <w:pStyle w:val="ProductList-Body"/>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Default="00F94543" w:rsidP="00F94543">
      <w:pPr>
        <w:pStyle w:val="ProductList-Body"/>
      </w:pPr>
    </w:p>
    <w:p w14:paraId="0CDE3FCE" w14:textId="77777777" w:rsidR="00F94543" w:rsidRPr="00434BE0" w:rsidRDefault="00221550"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221550"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375F17C3" w14:textId="04DBD885" w:rsidR="003E32A3" w:rsidRPr="00F94543" w:rsidRDefault="003E32A3" w:rsidP="003E32A3">
      <w:pPr>
        <w:pStyle w:val="ProductList-Offering2Heading"/>
        <w:tabs>
          <w:tab w:val="clear" w:pos="360"/>
          <w:tab w:val="clear" w:pos="720"/>
          <w:tab w:val="clear" w:pos="1080"/>
        </w:tabs>
        <w:outlineLvl w:val="2"/>
        <w:rPr>
          <w:szCs w:val="28"/>
        </w:rPr>
      </w:pPr>
      <w:bookmarkStart w:id="93" w:name="_Toc412532217"/>
      <w:bookmarkStart w:id="94" w:name="_Toc418674157"/>
      <w:r w:rsidRPr="00F94543">
        <w:rPr>
          <w:szCs w:val="28"/>
        </w:rPr>
        <w:t>Visual Studio Online – Usługa Planów Użytkownika</w:t>
      </w:r>
      <w:bookmarkEnd w:id="93"/>
      <w:bookmarkEnd w:id="94"/>
    </w:p>
    <w:p w14:paraId="2A7DEEBF" w14:textId="77777777" w:rsidR="003E32A3" w:rsidRPr="00FB368F" w:rsidRDefault="003E32A3" w:rsidP="003E32A3">
      <w:pPr>
        <w:pStyle w:val="ProductList-Body"/>
      </w:pPr>
      <w:r>
        <w:rPr>
          <w:b/>
          <w:color w:val="00188F"/>
        </w:rPr>
        <w:t>Dodatkowe definicje:</w:t>
      </w:r>
    </w:p>
    <w:p w14:paraId="3C3CD1DB" w14:textId="77777777"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44B8871" w14:textId="77777777" w:rsidR="003E32A3" w:rsidRPr="00FB368F" w:rsidRDefault="003E32A3" w:rsidP="003E32A3">
      <w:pPr>
        <w:pStyle w:val="ProductList-Body"/>
        <w:spacing w:after="40"/>
      </w:pPr>
      <w:r>
        <w:t>„</w:t>
      </w:r>
      <w:r>
        <w:rPr>
          <w:b/>
          <w:color w:val="00188F"/>
        </w:rPr>
        <w:t>Minuty Wdrożenia</w:t>
      </w:r>
      <w:r>
        <w:t>” oznaczają całkowitą liczbę minut, przez którą określony Plan Użytkownika został zakupiony w trakcie miesiąca rozliczeniowego.</w:t>
      </w:r>
    </w:p>
    <w:p w14:paraId="60BE0E45" w14:textId="77777777"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 skalowalności aplikacji.</w:t>
      </w:r>
    </w:p>
    <w:p w14:paraId="7636683F" w14:textId="77777777" w:rsidR="003E32A3" w:rsidRPr="00FB368F" w:rsidRDefault="003E32A3" w:rsidP="003E32A3">
      <w:pPr>
        <w:pStyle w:val="ProductList-Body"/>
        <w:spacing w:after="40"/>
      </w:pPr>
      <w:r>
        <w:t>„</w:t>
      </w:r>
      <w:r>
        <w:rPr>
          <w:b/>
          <w:color w:val="00188F"/>
        </w:rPr>
        <w:t>Maksymalne Dostępne Minuty</w:t>
      </w:r>
      <w:r>
        <w:t>” oznaczają sumę wszystkich Minut Wdrożenia dla wszystkich Planów Użytkownika w ramach określonej subskrypcji Microsoft Azure w trakcie miesiąca rozliczeniowego.</w:t>
      </w:r>
    </w:p>
    <w:p w14:paraId="204A2A68" w14:textId="65B22C3E" w:rsidR="003E32A3" w:rsidRPr="00FB368F" w:rsidRDefault="003E32A3" w:rsidP="003E32A3">
      <w:pPr>
        <w:pStyle w:val="ProductList-Body"/>
      </w:pPr>
      <w:r>
        <w:t>„</w:t>
      </w:r>
      <w:r>
        <w:rPr>
          <w:b/>
          <w:color w:val="00188F"/>
        </w:rPr>
        <w:t>Plan Użytkownika</w:t>
      </w:r>
      <w:r>
        <w:t xml:space="preserve">” dotyczy zestawu funkcji i możliwości wybranych dla użytkownika w ramach konta Visual Studio Online w subskrypcji Klienta. Opcje Planu Użytkownika oraz funkcje i możliwości dla pojedynczego Planu Użytkownika są opisane na stronie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5F0F88E2" w:rsidR="003E32A3" w:rsidRPr="00FB368F" w:rsidRDefault="003E32A3" w:rsidP="003E32A3">
      <w:pPr>
        <w:pStyle w:val="ProductList-Body"/>
      </w:pPr>
      <w:r>
        <w:rPr>
          <w:b/>
          <w:color w:val="00188F"/>
        </w:rPr>
        <w:t>Przestój</w:t>
      </w:r>
      <w:r w:rsidRPr="0051169A">
        <w:rPr>
          <w:b/>
          <w:color w:val="00188F"/>
        </w:rPr>
        <w:t>:</w:t>
      </w:r>
      <w:r>
        <w:t xml:space="preserve"> Całkowita łączna liczba Minut Wdrożenia dla wszystkich Planów Użytkownika dla danej subskrypcji Microsoft Azure, w czasie których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1984283C" w14:textId="77777777" w:rsidR="003E32A3" w:rsidRPr="00FB368F" w:rsidRDefault="003E32A3" w:rsidP="003E32A3">
      <w:pPr>
        <w:pStyle w:val="ProductList-Body"/>
      </w:pPr>
    </w:p>
    <w:p w14:paraId="32B67BF7" w14:textId="7203337E" w:rsidR="003E32A3" w:rsidRPr="00FB368F" w:rsidRDefault="003E32A3" w:rsidP="003E32A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DBE7724" w14:textId="77777777" w:rsidR="003E32A3" w:rsidRPr="00FB368F" w:rsidRDefault="003E32A3" w:rsidP="003E32A3">
      <w:pPr>
        <w:pStyle w:val="ProductList-Body"/>
      </w:pPr>
    </w:p>
    <w:p w14:paraId="2EED73B3" w14:textId="67EC729E" w:rsidR="003E32A3" w:rsidRPr="00FB368F" w:rsidRDefault="0022155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50C28">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E75A211" w14:textId="77777777" w:rsidTr="00550C2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550C2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22155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0EBC6B" w14:textId="45F6ACBA" w:rsidR="003E32A3" w:rsidRPr="00F94543" w:rsidRDefault="003E32A3" w:rsidP="003E32A3">
      <w:pPr>
        <w:pStyle w:val="ProductList-Offering2Heading"/>
        <w:tabs>
          <w:tab w:val="clear" w:pos="360"/>
          <w:tab w:val="clear" w:pos="720"/>
          <w:tab w:val="clear" w:pos="1080"/>
        </w:tabs>
        <w:outlineLvl w:val="2"/>
        <w:rPr>
          <w:szCs w:val="28"/>
        </w:rPr>
      </w:pPr>
      <w:bookmarkStart w:id="95" w:name="_Toc418674158"/>
      <w:r w:rsidRPr="00F94543">
        <w:rPr>
          <w:szCs w:val="28"/>
        </w:rPr>
        <w:t>Visual Studio Online – Usługa Kompilacji</w:t>
      </w:r>
      <w:bookmarkEnd w:id="95"/>
    </w:p>
    <w:p w14:paraId="625F26EA" w14:textId="77777777" w:rsidR="003E32A3" w:rsidRPr="00FB368F" w:rsidRDefault="003E32A3" w:rsidP="003E32A3">
      <w:pPr>
        <w:pStyle w:val="ProductList-Body"/>
      </w:pPr>
      <w:r>
        <w:rPr>
          <w:b/>
          <w:color w:val="00188F"/>
        </w:rPr>
        <w:t>Dodatkowe definicje:</w:t>
      </w:r>
    </w:p>
    <w:p w14:paraId="1FF4A51F" w14:textId="15C703A5"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76F591A" w14:textId="77777777" w:rsidR="003E32A3" w:rsidRPr="00FB368F" w:rsidRDefault="003E32A3" w:rsidP="003E32A3">
      <w:pPr>
        <w:pStyle w:val="ProductList-Body"/>
      </w:pPr>
      <w:r>
        <w:t>„</w:t>
      </w:r>
      <w:r>
        <w:rPr>
          <w:b/>
          <w:color w:val="00188F"/>
        </w:rPr>
        <w:t>Maksymalne Dostępne Minuty</w:t>
      </w:r>
      <w:r>
        <w:t>” oznaczają łączną liczbę minut, dla których opłacona Usługa Kompilacji jest włączona dla danej subskrypcji Microsoft Azure w miesiącu rozliczeniowym.</w:t>
      </w:r>
    </w:p>
    <w:p w14:paraId="0EE398CD" w14:textId="77777777" w:rsidR="003E32A3" w:rsidRPr="00FB368F" w:rsidRDefault="003E32A3" w:rsidP="003E32A3">
      <w:pPr>
        <w:pStyle w:val="ProductList-Body"/>
      </w:pPr>
    </w:p>
    <w:p w14:paraId="4BE07430" w14:textId="207683A3"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514510B5" w14:textId="77777777" w:rsidR="003E32A3" w:rsidRPr="00FB368F" w:rsidRDefault="003E32A3" w:rsidP="003E32A3">
      <w:pPr>
        <w:pStyle w:val="ProductList-Body"/>
      </w:pPr>
    </w:p>
    <w:p w14:paraId="7CD62528" w14:textId="7DA4C82C"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E5C79ED" w14:textId="77777777" w:rsidR="003E32A3" w:rsidRPr="00FB368F" w:rsidRDefault="003E32A3" w:rsidP="003E32A3">
      <w:pPr>
        <w:pStyle w:val="ProductList-Body"/>
      </w:pPr>
    </w:p>
    <w:p w14:paraId="7CBE3F74" w14:textId="2C5DFF0D" w:rsidR="003E32A3" w:rsidRPr="00FB368F" w:rsidRDefault="0022155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550C28">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0E0607E8" w14:textId="77777777" w:rsidTr="00550C28">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550C28">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Default="00221550" w:rsidP="003E32A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792520E" w14:textId="623A3ACE" w:rsidR="003E32A3" w:rsidRPr="00F94543" w:rsidRDefault="003E32A3" w:rsidP="003E32A3">
      <w:pPr>
        <w:pStyle w:val="ProductList-Offering2Heading"/>
        <w:tabs>
          <w:tab w:val="clear" w:pos="360"/>
          <w:tab w:val="clear" w:pos="720"/>
          <w:tab w:val="clear" w:pos="1080"/>
        </w:tabs>
        <w:outlineLvl w:val="2"/>
        <w:rPr>
          <w:szCs w:val="28"/>
        </w:rPr>
      </w:pPr>
      <w:bookmarkStart w:id="96" w:name="_Toc418674159"/>
      <w:r w:rsidRPr="00F94543">
        <w:rPr>
          <w:szCs w:val="28"/>
        </w:rPr>
        <w:lastRenderedPageBreak/>
        <w:t>Visual Studio Online – Usługa Testowania Obciążenia</w:t>
      </w:r>
      <w:bookmarkEnd w:id="96"/>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22155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2155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7BB448" w14:textId="2EA2F8B6" w:rsidR="003E32A3" w:rsidRPr="00F94543" w:rsidRDefault="003E32A3" w:rsidP="003E32A3">
      <w:pPr>
        <w:pStyle w:val="ProductList-Offering2Heading"/>
        <w:tabs>
          <w:tab w:val="clear" w:pos="360"/>
          <w:tab w:val="clear" w:pos="720"/>
          <w:tab w:val="clear" w:pos="1080"/>
        </w:tabs>
        <w:outlineLvl w:val="2"/>
        <w:rPr>
          <w:szCs w:val="28"/>
        </w:rPr>
      </w:pPr>
      <w:bookmarkStart w:id="97" w:name="_Toc412532220"/>
      <w:bookmarkStart w:id="98" w:name="_Toc418674160"/>
      <w:r w:rsidRPr="00F94543">
        <w:rPr>
          <w:szCs w:val="28"/>
        </w:rPr>
        <w:t>Usługa Witryn Sieci Web</w:t>
      </w:r>
      <w:bookmarkEnd w:id="97"/>
      <w:bookmarkEnd w:id="98"/>
    </w:p>
    <w:p w14:paraId="03C01B55" w14:textId="77777777" w:rsidR="003E32A3" w:rsidRPr="00FB368F" w:rsidRDefault="003E32A3" w:rsidP="003E32A3">
      <w:pPr>
        <w:pStyle w:val="ProductList-Body"/>
      </w:pPr>
      <w:r>
        <w:rPr>
          <w:b/>
          <w:color w:val="00188F"/>
        </w:rPr>
        <w:t>Dodatkowe definicje:</w:t>
      </w:r>
    </w:p>
    <w:p w14:paraId="7C21AD9A" w14:textId="128F9262" w:rsidR="003E32A3" w:rsidRPr="00FB368F" w:rsidRDefault="003E32A3" w:rsidP="003E32A3">
      <w:pPr>
        <w:pStyle w:val="ProductList-Body"/>
        <w:spacing w:after="40"/>
      </w:pPr>
      <w:r>
        <w:t>„</w:t>
      </w:r>
      <w:r>
        <w:rPr>
          <w:b/>
          <w:color w:val="00188F"/>
        </w:rPr>
        <w:t>Minuty Wdrożenia</w:t>
      </w:r>
      <w:r>
        <w:t>” oznaczają całkowitą liczbę minut, przez którą określona Witryna Sieci Web została uruchomiona w systemie Microsoft Azure w trakcie miesiąca rozliczeniowego. Minuty Wdrożenia są mierzone od momentu stworzenia Witryny Sieci Web lub zainicjowania przez Klienta działania, które spowodowałoby uruchomienie Witryny Sieci Web, aż do momentu, w którym Klient zainicjuje działanie, które spowoduje zatrzymanie lub usunięcie Witryny Sieci Web.</w:t>
      </w:r>
    </w:p>
    <w:p w14:paraId="330DEAC0" w14:textId="6A8194F8" w:rsidR="003E32A3" w:rsidRPr="00FB368F" w:rsidRDefault="003E32A3" w:rsidP="003E32A3">
      <w:pPr>
        <w:pStyle w:val="ProductList-Body"/>
        <w:spacing w:after="40"/>
      </w:pPr>
      <w:r>
        <w:t>„</w:t>
      </w:r>
      <w:r>
        <w:rPr>
          <w:b/>
          <w:color w:val="00188F"/>
        </w:rPr>
        <w:t>Maksymalne Dostępne Minuty</w:t>
      </w:r>
      <w:r>
        <w:t>” oznaczają sumę wszystkich Minut Wdrożenia dla wszystkich Witryn Sieci Web wdrożonych przez Klienta w</w:t>
      </w:r>
      <w:r w:rsidR="00CA7FD7">
        <w:t> </w:t>
      </w:r>
      <w:r>
        <w:t>ramach określonej subskrypcji Microsoft Azure w trakcie miesiąca rozliczeniowego.</w:t>
      </w:r>
    </w:p>
    <w:p w14:paraId="37F3A0B1" w14:textId="77777777" w:rsidR="003E32A3" w:rsidRPr="00FB368F" w:rsidRDefault="003E32A3" w:rsidP="003E32A3">
      <w:pPr>
        <w:pStyle w:val="ProductList-Body"/>
      </w:pPr>
      <w:r>
        <w:t>„</w:t>
      </w:r>
      <w:r>
        <w:rPr>
          <w:b/>
          <w:color w:val="00188F"/>
        </w:rPr>
        <w:t>Witryna Sieci Web</w:t>
      </w:r>
      <w:r>
        <w:t>” to witryna internetowa wdrożona przez Klienta w ramach Usługi Witryn Sieci Web, z wyjątkiem witryn w poziomach usługi Free (bezpłatny) i Shared (współużytkowany) Witryn Sieci Web systemu Microsoft Azure.</w:t>
      </w:r>
    </w:p>
    <w:p w14:paraId="600E991D" w14:textId="77777777" w:rsidR="003E32A3" w:rsidRPr="00E00E53" w:rsidRDefault="003E32A3" w:rsidP="003E32A3">
      <w:pPr>
        <w:pStyle w:val="ProductList-Body"/>
        <w:rPr>
          <w:sz w:val="16"/>
          <w:szCs w:val="16"/>
        </w:rPr>
      </w:pPr>
    </w:p>
    <w:p w14:paraId="0804E550" w14:textId="28EF7F4A" w:rsidR="003E32A3" w:rsidRPr="00FB368F" w:rsidRDefault="003E32A3" w:rsidP="003E32A3">
      <w:pPr>
        <w:pStyle w:val="ProductList-Body"/>
      </w:pPr>
      <w:r>
        <w:rPr>
          <w:b/>
          <w:color w:val="00188F"/>
        </w:rPr>
        <w:t>Przestój</w:t>
      </w:r>
      <w:r w:rsidRPr="00A438E0">
        <w:rPr>
          <w:b/>
          <w:color w:val="00188F"/>
        </w:rPr>
        <w:t>:</w:t>
      </w:r>
      <w:r>
        <w:t xml:space="preserve"> Całkowita łączna liczba Minut Wdrożenia dla wszystkich Witryn Sieci Web wdrożonych przez Klienta w ramach określonej subskrypcji Microsoft Azure, w których czasie Witryna Sieci Web jest niedostępna. Minuta niedostępności dla danej Witryny Sieci Web oznacza brak łączności pomiędzy Witryną Sieci Web a Bramą Internetową Microsoft.</w:t>
      </w:r>
    </w:p>
    <w:p w14:paraId="79C6F0BE" w14:textId="77777777" w:rsidR="003E32A3" w:rsidRPr="00E00E53" w:rsidRDefault="003E32A3" w:rsidP="003E32A3">
      <w:pPr>
        <w:pStyle w:val="ProductList-Body"/>
        <w:rPr>
          <w:sz w:val="16"/>
          <w:szCs w:val="16"/>
        </w:rPr>
      </w:pPr>
    </w:p>
    <w:p w14:paraId="3EDDEAE8" w14:textId="06F30185"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2898CA3" w14:textId="77777777" w:rsidR="003E32A3" w:rsidRPr="00E00E53" w:rsidRDefault="003E32A3" w:rsidP="003E32A3">
      <w:pPr>
        <w:pStyle w:val="ProductList-Body"/>
        <w:rPr>
          <w:sz w:val="16"/>
          <w:szCs w:val="16"/>
        </w:rPr>
      </w:pPr>
    </w:p>
    <w:p w14:paraId="51E5388F" w14:textId="522E3F91" w:rsidR="003E32A3" w:rsidRPr="00FB368F" w:rsidRDefault="0022155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50C28">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3203C7D" w14:textId="77777777" w:rsidTr="00550C28">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550C28">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221550"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9" w:name="_Toc418674161"/>
      <w:r>
        <w:t>Inne usługi online</w:t>
      </w:r>
      <w:bookmarkEnd w:id="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0" w:name="_Toc418674162"/>
      <w:r>
        <w:t>Bing Maps Enterprise Platform</w:t>
      </w:r>
      <w:bookmarkEnd w:id="100"/>
    </w:p>
    <w:p w14:paraId="6227B95F" w14:textId="338DF14E" w:rsidR="00515EF4" w:rsidRPr="00FB368F" w:rsidRDefault="003A16EB" w:rsidP="00515EF4">
      <w:pPr>
        <w:pStyle w:val="ProductList-Body"/>
      </w:pPr>
      <w:r>
        <w:rPr>
          <w:b/>
          <w:color w:val="00188F"/>
        </w:rPr>
        <w:lastRenderedPageBreak/>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22155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22155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01" w:name="_Toc413421605"/>
      <w:bookmarkStart w:id="102" w:name="_Toc418674163"/>
      <w:r>
        <w:t>Usługa Bing Maps Mobile Asset Management</w:t>
      </w:r>
      <w:bookmarkEnd w:id="101"/>
      <w:bookmarkEnd w:id="102"/>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22155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221550"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3B50FF31" w:rsidR="00515EF4" w:rsidRPr="0034545D" w:rsidRDefault="00515EF4" w:rsidP="00515EF4">
      <w:pPr>
        <w:pStyle w:val="ProductList-Offering2Heading"/>
        <w:tabs>
          <w:tab w:val="clear" w:pos="360"/>
          <w:tab w:val="clear" w:pos="720"/>
          <w:tab w:val="clear" w:pos="1080"/>
        </w:tabs>
        <w:outlineLvl w:val="2"/>
        <w:rPr>
          <w:lang w:val="en-US"/>
        </w:rPr>
      </w:pPr>
      <w:bookmarkStart w:id="103" w:name="_Toc418674164"/>
      <w:r w:rsidRPr="0034545D">
        <w:rPr>
          <w:lang w:val="en-US"/>
        </w:rPr>
        <w:t>Power BI for Office 365</w:t>
      </w:r>
      <w:bookmarkEnd w:id="103"/>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FB368F" w:rsidRDefault="00515EF4" w:rsidP="00515EF4">
      <w:pPr>
        <w:pStyle w:val="ProductList-Body"/>
      </w:pPr>
    </w:p>
    <w:p w14:paraId="49ECCD62" w14:textId="0E1A478A" w:rsidR="00515EF4" w:rsidRPr="00FB368F" w:rsidRDefault="00515EF4" w:rsidP="00515EF4">
      <w:pPr>
        <w:pStyle w:val="ProductList-Body"/>
      </w:pPr>
      <w:r>
        <w:rPr>
          <w:b/>
          <w:color w:val="00188F"/>
        </w:rPr>
        <w:lastRenderedPageBreak/>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FB368F" w:rsidRDefault="00515EF4" w:rsidP="00515EF4">
      <w:pPr>
        <w:pStyle w:val="ProductList-Body"/>
      </w:pPr>
    </w:p>
    <w:p w14:paraId="5A7E48F2" w14:textId="176CD360" w:rsidR="00515EF4" w:rsidRPr="00FB368F" w:rsidRDefault="0022155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FB368F" w:rsidRDefault="00515EF4" w:rsidP="00515EF4">
      <w:pPr>
        <w:pStyle w:val="ProductList-Body"/>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2155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4" w:name="_Toc418674165"/>
      <w:r>
        <w:t>Interfejs programowania aplikacji Translator</w:t>
      </w:r>
      <w:bookmarkEnd w:id="104"/>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FB368F" w:rsidRDefault="00515EF4" w:rsidP="00515EF4">
      <w:pPr>
        <w:pStyle w:val="ProductList-Body"/>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FB368F" w:rsidRDefault="00515EF4" w:rsidP="00515EF4">
      <w:pPr>
        <w:pStyle w:val="ProductList-Body"/>
      </w:pPr>
    </w:p>
    <w:p w14:paraId="728BF4C5" w14:textId="44F5B841" w:rsidR="00515EF4" w:rsidRPr="00FB368F" w:rsidRDefault="0022155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2155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5" w:name="AppendixA"/>
      <w:bookmarkStart w:id="106" w:name="_Toc418674166"/>
      <w:r>
        <w:lastRenderedPageBreak/>
        <w:t>Załącznik A</w:t>
      </w:r>
      <w:bookmarkEnd w:id="105"/>
      <w:r>
        <w:t xml:space="preserve"> – Zadeklarowanie Poziomu Usługi w Zakresie Wykrywania i Blokowania Wirusów, Efektywności Filtrów Antyspamowych i Fałszywych Trafień Pozytywnych</w:t>
      </w:r>
      <w:bookmarkEnd w:id="106"/>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07" w:name="AppendixB"/>
      <w:bookmarkStart w:id="108" w:name="_Toc418674167"/>
      <w:r>
        <w:lastRenderedPageBreak/>
        <w:t>Załącznik B</w:t>
      </w:r>
      <w:bookmarkEnd w:id="107"/>
      <w:r>
        <w:t xml:space="preserve"> </w:t>
      </w:r>
      <w:r w:rsidR="008868E1">
        <w:t>–</w:t>
      </w:r>
      <w:r>
        <w:t xml:space="preserve"> Zadeklarowanie Poziomu Usługi w Zakresie Czasu Nieprzerwanej Pracy i Dostarczania Poczty Elektronicznej</w:t>
      </w:r>
      <w:bookmarkEnd w:id="108"/>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8C440" w14:textId="77777777" w:rsidR="00735A34" w:rsidRDefault="00735A34" w:rsidP="009A573F">
      <w:pPr>
        <w:spacing w:after="0" w:line="240" w:lineRule="auto"/>
      </w:pPr>
      <w:r>
        <w:separator/>
      </w:r>
    </w:p>
  </w:endnote>
  <w:endnote w:type="continuationSeparator" w:id="0">
    <w:p w14:paraId="372608BF" w14:textId="77777777" w:rsidR="00735A34" w:rsidRDefault="00735A34" w:rsidP="009A573F">
      <w:pPr>
        <w:spacing w:after="0" w:line="240" w:lineRule="auto"/>
      </w:pPr>
      <w:r>
        <w:continuationSeparator/>
      </w:r>
    </w:p>
  </w:endnote>
  <w:endnote w:type="continuationNotice" w:id="1">
    <w:p w14:paraId="791A68AA" w14:textId="77777777" w:rsidR="00735A34" w:rsidRDefault="00735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B013" w14:textId="77777777" w:rsidR="00221550" w:rsidRDefault="0022155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30C0ED41" w14:textId="77777777" w:rsidTr="00B41C6B">
      <w:tc>
        <w:tcPr>
          <w:tcW w:w="1980" w:type="dxa"/>
          <w:shd w:val="clear" w:color="auto" w:fill="F2F2F2"/>
          <w:vAlign w:val="center"/>
        </w:tcPr>
        <w:p w14:paraId="1325EF68" w14:textId="77777777" w:rsidR="00F94543" w:rsidRPr="00D56852" w:rsidRDefault="0022155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F94543" w:rsidRPr="006F0B13" w:rsidRDefault="00F94543"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F94543" w:rsidRPr="00D56852" w:rsidRDefault="0022155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F94543" w:rsidRPr="00D56852" w:rsidRDefault="0022155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F94543" w:rsidRPr="00D56852" w:rsidRDefault="0022155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F94543" w:rsidRPr="00D56852" w:rsidRDefault="0022155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5E2A2DA5" w14:textId="77777777" w:rsidR="00F94543" w:rsidRDefault="00F94543" w:rsidP="00284660">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2F7D5E0D" w14:textId="77777777" w:rsidTr="005251B1">
      <w:tc>
        <w:tcPr>
          <w:tcW w:w="1980" w:type="dxa"/>
          <w:shd w:val="clear" w:color="auto" w:fill="F2F2F2"/>
          <w:vAlign w:val="center"/>
        </w:tcPr>
        <w:p w14:paraId="4A28F270" w14:textId="77777777" w:rsidR="00F94543" w:rsidRPr="00D56852" w:rsidRDefault="0022155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F94543" w:rsidRPr="006F0B13" w:rsidRDefault="00F94543"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F94543" w:rsidRPr="00D56852" w:rsidRDefault="0022155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F94543" w:rsidRPr="00D56852" w:rsidRDefault="0022155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F94543" w:rsidRPr="00D56852" w:rsidRDefault="0022155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F94543" w:rsidRPr="00D56852" w:rsidRDefault="0022155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778DDBC8" w14:textId="77777777" w:rsidR="00F94543" w:rsidRDefault="00F94543" w:rsidP="005251B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0E8BC195" w14:textId="77777777" w:rsidTr="00B41C6B">
      <w:tc>
        <w:tcPr>
          <w:tcW w:w="1980" w:type="dxa"/>
          <w:shd w:val="clear" w:color="auto" w:fill="F2F2F2"/>
          <w:vAlign w:val="center"/>
        </w:tcPr>
        <w:p w14:paraId="5CB4B968" w14:textId="77777777" w:rsidR="00F94543" w:rsidRPr="00D56852" w:rsidRDefault="0022155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F94543" w:rsidRPr="006F0B13" w:rsidRDefault="00F94543"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F94543" w:rsidRPr="00D56852" w:rsidRDefault="0022155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F94543" w:rsidRPr="00D56852" w:rsidRDefault="0022155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F94543" w:rsidRPr="00D56852" w:rsidRDefault="0022155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F94543" w:rsidRPr="00D56852" w:rsidRDefault="0022155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6FEFC711" w14:textId="77777777" w:rsidR="00F94543" w:rsidRDefault="00F94543" w:rsidP="002075AF">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3A65C031" w14:textId="77777777" w:rsidTr="00B41C6B">
      <w:tc>
        <w:tcPr>
          <w:tcW w:w="1980" w:type="dxa"/>
          <w:shd w:val="clear" w:color="auto" w:fill="F2F2F2"/>
          <w:vAlign w:val="center"/>
        </w:tcPr>
        <w:p w14:paraId="005A419F" w14:textId="77777777" w:rsidR="00F94543" w:rsidRPr="00D56852" w:rsidRDefault="0022155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F94543" w:rsidRPr="006F0B13" w:rsidRDefault="00F94543"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F94543" w:rsidRPr="00D56852" w:rsidRDefault="0022155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F94543" w:rsidRPr="00D56852" w:rsidRDefault="0022155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F94543" w:rsidRPr="00D56852" w:rsidRDefault="0022155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F94543" w:rsidRPr="00D56852" w:rsidRDefault="0022155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2EAB654F" w14:textId="77777777" w:rsidR="00F94543" w:rsidRDefault="00F94543" w:rsidP="00953EA4">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43917257" w14:textId="77777777" w:rsidTr="00B41C6B">
      <w:tc>
        <w:tcPr>
          <w:tcW w:w="1980" w:type="dxa"/>
          <w:shd w:val="clear" w:color="auto" w:fill="F2F2F2"/>
          <w:vAlign w:val="center"/>
        </w:tcPr>
        <w:p w14:paraId="43A60E64" w14:textId="77777777" w:rsidR="00F94543" w:rsidRPr="00D56852" w:rsidRDefault="0022155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F94543" w:rsidRPr="006F0B13" w:rsidRDefault="00F94543"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F94543" w:rsidRPr="00D56852" w:rsidRDefault="0022155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F94543" w:rsidRPr="00D56852" w:rsidRDefault="0022155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F94543" w:rsidRPr="00D56852" w:rsidRDefault="0022155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F94543" w:rsidRPr="006F0B13" w:rsidRDefault="00F94543"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F94543" w:rsidRPr="00D56852" w:rsidRDefault="0022155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228E2ECC" w14:textId="77777777" w:rsidR="00F94543" w:rsidRDefault="00F94543"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4543" w:rsidRPr="00C76DF3" w14:paraId="15A2D634" w14:textId="77777777" w:rsidTr="00CA55D9">
      <w:tc>
        <w:tcPr>
          <w:tcW w:w="1255" w:type="dxa"/>
          <w:shd w:val="clear" w:color="auto" w:fill="BFBFBF" w:themeFill="background1" w:themeFillShade="BF"/>
          <w:vAlign w:val="center"/>
        </w:tcPr>
        <w:p w14:paraId="2DBC2034" w14:textId="77777777" w:rsidR="00F94543" w:rsidRPr="00C76DF3" w:rsidRDefault="00221550" w:rsidP="00370875">
          <w:pPr>
            <w:pStyle w:val="ProductList-OfferingBody"/>
            <w:ind w:left="-77" w:right="-73"/>
            <w:jc w:val="center"/>
            <w:rPr>
              <w:color w:val="808080" w:themeColor="background1" w:themeShade="80"/>
              <w:sz w:val="14"/>
              <w:szCs w:val="14"/>
            </w:rPr>
          </w:pPr>
          <w:hyperlink w:anchor="TableOfContents" w:history="1">
            <w:r w:rsidR="00F94543">
              <w:rPr>
                <w:rStyle w:val="Hyperlink"/>
                <w:sz w:val="14"/>
                <w:szCs w:val="14"/>
              </w:rPr>
              <w:t>Spis treści</w:t>
            </w:r>
          </w:hyperlink>
        </w:p>
      </w:tc>
      <w:tc>
        <w:tcPr>
          <w:tcW w:w="181" w:type="dxa"/>
          <w:tcBorders>
            <w:top w:val="nil"/>
            <w:bottom w:val="nil"/>
          </w:tcBorders>
          <w:vAlign w:val="center"/>
        </w:tcPr>
        <w:p w14:paraId="252C3380" w14:textId="77777777" w:rsidR="00F94543" w:rsidRPr="00C76DF3" w:rsidRDefault="00F9454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4543" w:rsidRPr="00C76DF3" w:rsidRDefault="00221550" w:rsidP="00370875">
          <w:pPr>
            <w:pStyle w:val="ProductList-OfferingBody"/>
            <w:ind w:left="-72" w:right="-74"/>
            <w:jc w:val="center"/>
            <w:rPr>
              <w:color w:val="808080" w:themeColor="background1" w:themeShade="80"/>
              <w:sz w:val="14"/>
              <w:szCs w:val="14"/>
            </w:rPr>
          </w:pPr>
          <w:hyperlink w:anchor="Introduction" w:history="1">
            <w:r w:rsidR="00F94543">
              <w:rPr>
                <w:rStyle w:val="Hyperlink"/>
                <w:sz w:val="14"/>
                <w:szCs w:val="14"/>
              </w:rPr>
              <w:t>Wprowadzenie</w:t>
            </w:r>
          </w:hyperlink>
        </w:p>
      </w:tc>
      <w:tc>
        <w:tcPr>
          <w:tcW w:w="182" w:type="dxa"/>
          <w:tcBorders>
            <w:top w:val="nil"/>
            <w:bottom w:val="nil"/>
          </w:tcBorders>
          <w:vAlign w:val="center"/>
        </w:tcPr>
        <w:p w14:paraId="0F966FD9" w14:textId="77777777" w:rsidR="00F94543" w:rsidRPr="00C76DF3" w:rsidRDefault="00F9454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4543" w:rsidRPr="00C76DF3" w:rsidRDefault="00221550" w:rsidP="00370875">
          <w:pPr>
            <w:pStyle w:val="ProductList-OfferingBody"/>
            <w:ind w:left="-72" w:right="-75"/>
            <w:jc w:val="center"/>
            <w:rPr>
              <w:color w:val="808080" w:themeColor="background1" w:themeShade="80"/>
              <w:sz w:val="14"/>
              <w:szCs w:val="14"/>
            </w:rPr>
          </w:pPr>
          <w:hyperlink w:anchor="Glossary" w:history="1">
            <w:r w:rsidR="00F94543">
              <w:rPr>
                <w:rStyle w:val="Hyperlink"/>
                <w:sz w:val="14"/>
                <w:szCs w:val="14"/>
              </w:rPr>
              <w:t>Słowniczek</w:t>
            </w:r>
          </w:hyperlink>
          <w:r w:rsidR="00F9454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4543" w:rsidRPr="00C76DF3" w:rsidRDefault="00F9454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4543" w:rsidRPr="00C76DF3" w:rsidRDefault="00221550" w:rsidP="00370875">
          <w:pPr>
            <w:pStyle w:val="ProductList-OfferingBody"/>
            <w:ind w:left="-72" w:right="-77"/>
            <w:jc w:val="center"/>
            <w:rPr>
              <w:color w:val="808080" w:themeColor="background1" w:themeShade="80"/>
              <w:sz w:val="14"/>
              <w:szCs w:val="14"/>
            </w:rPr>
          </w:pPr>
          <w:hyperlink w:anchor="LicenseTerms" w:history="1">
            <w:r w:rsidR="00F94543">
              <w:rPr>
                <w:rStyle w:val="Hyperlink"/>
                <w:sz w:val="14"/>
                <w:szCs w:val="14"/>
              </w:rPr>
              <w:t>Postanowienia licencyjne</w:t>
            </w:r>
          </w:hyperlink>
        </w:p>
      </w:tc>
      <w:tc>
        <w:tcPr>
          <w:tcW w:w="185" w:type="dxa"/>
          <w:tcBorders>
            <w:top w:val="nil"/>
            <w:bottom w:val="nil"/>
          </w:tcBorders>
          <w:vAlign w:val="center"/>
        </w:tcPr>
        <w:p w14:paraId="69800AFB" w14:textId="77777777" w:rsidR="00F94543" w:rsidRPr="00C76DF3" w:rsidRDefault="00F9454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4543" w:rsidRPr="00C76DF3" w:rsidRDefault="00221550" w:rsidP="00370875">
          <w:pPr>
            <w:pStyle w:val="ProductList-OfferingBody"/>
            <w:ind w:left="-72" w:right="-77"/>
            <w:jc w:val="center"/>
            <w:rPr>
              <w:color w:val="808080" w:themeColor="background1" w:themeShade="80"/>
              <w:sz w:val="14"/>
              <w:szCs w:val="14"/>
            </w:rPr>
          </w:pPr>
          <w:hyperlink w:anchor="Software" w:history="1">
            <w:r w:rsidR="00F94543">
              <w:rPr>
                <w:rStyle w:val="Hyperlink"/>
                <w:sz w:val="14"/>
                <w:szCs w:val="14"/>
              </w:rPr>
              <w:t>Oprogramowanie</w:t>
            </w:r>
          </w:hyperlink>
        </w:p>
      </w:tc>
      <w:tc>
        <w:tcPr>
          <w:tcW w:w="180" w:type="dxa"/>
          <w:tcBorders>
            <w:top w:val="nil"/>
            <w:bottom w:val="nil"/>
          </w:tcBorders>
        </w:tcPr>
        <w:p w14:paraId="4F6F3066" w14:textId="77777777" w:rsidR="00F94543" w:rsidRPr="00C76DF3" w:rsidRDefault="00F9454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4543" w:rsidRPr="00C76DF3" w:rsidRDefault="0022155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4543">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F94543" w:rsidRPr="00C76DF3" w:rsidRDefault="00F9454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4543" w:rsidRPr="00C76DF3" w:rsidRDefault="00221550" w:rsidP="00370875">
          <w:pPr>
            <w:pStyle w:val="ProductList-OfferingBody"/>
            <w:ind w:left="-72" w:right="-76"/>
            <w:jc w:val="center"/>
            <w:rPr>
              <w:color w:val="808080" w:themeColor="background1" w:themeShade="80"/>
              <w:sz w:val="14"/>
              <w:szCs w:val="14"/>
            </w:rPr>
          </w:pPr>
          <w:hyperlink w:anchor="AppendixA" w:history="1">
            <w:r w:rsidR="00F94543">
              <w:rPr>
                <w:rStyle w:val="Hyperlink"/>
                <w:sz w:val="14"/>
                <w:szCs w:val="14"/>
              </w:rPr>
              <w:t>Załączniki</w:t>
            </w:r>
          </w:hyperlink>
        </w:p>
      </w:tc>
      <w:tc>
        <w:tcPr>
          <w:tcW w:w="184" w:type="dxa"/>
          <w:tcBorders>
            <w:top w:val="nil"/>
            <w:bottom w:val="nil"/>
          </w:tcBorders>
          <w:vAlign w:val="center"/>
        </w:tcPr>
        <w:p w14:paraId="4CB1671F" w14:textId="77777777" w:rsidR="00F94543" w:rsidRPr="00C76DF3" w:rsidRDefault="00F9454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4543" w:rsidRPr="00C76DF3" w:rsidRDefault="00221550" w:rsidP="00370875">
          <w:pPr>
            <w:pStyle w:val="ProductList-OfferingBody"/>
            <w:ind w:left="-72" w:right="-74"/>
            <w:jc w:val="center"/>
            <w:rPr>
              <w:color w:val="808080" w:themeColor="background1" w:themeShade="80"/>
              <w:sz w:val="14"/>
              <w:szCs w:val="14"/>
            </w:rPr>
          </w:pPr>
          <w:hyperlink w:anchor="Index" w:history="1">
            <w:r w:rsidR="00F94543">
              <w:rPr>
                <w:rStyle w:val="Hyperlink"/>
                <w:sz w:val="14"/>
                <w:szCs w:val="14"/>
              </w:rPr>
              <w:t>Indeks</w:t>
            </w:r>
          </w:hyperlink>
        </w:p>
      </w:tc>
    </w:tr>
  </w:tbl>
  <w:p w14:paraId="23003BC5" w14:textId="77777777" w:rsidR="00F94543" w:rsidRDefault="00F94543"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94543" w:rsidRDefault="00F94543"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25A3A111" w14:textId="77777777" w:rsidTr="00C90903">
      <w:tc>
        <w:tcPr>
          <w:tcW w:w="1980" w:type="dxa"/>
          <w:shd w:val="clear" w:color="auto" w:fill="BFBFBF" w:themeFill="background1" w:themeFillShade="BF"/>
          <w:vAlign w:val="center"/>
        </w:tcPr>
        <w:p w14:paraId="5F986FDD" w14:textId="12281895" w:rsidR="00F94543" w:rsidRPr="00D56852" w:rsidRDefault="00221550"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F94543" w:rsidRPr="00DE31E9" w:rsidRDefault="00F94543"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F94543" w:rsidRPr="00D56852" w:rsidRDefault="00221550"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F94543" w:rsidRPr="00AF2B2D" w:rsidRDefault="00F94543"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F94543" w:rsidRPr="00D56852" w:rsidRDefault="00221550"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F94543" w:rsidRPr="00AF2B2D" w:rsidRDefault="00F94543"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F94543" w:rsidRPr="00D56852" w:rsidRDefault="00221550"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F94543" w:rsidRPr="00D56852" w:rsidRDefault="00221550"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1166BF0D" w14:textId="77777777" w:rsidR="00F94543" w:rsidRDefault="00F94543"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4543" w:rsidRPr="00C76DF3" w14:paraId="0520C738" w14:textId="77777777" w:rsidTr="00CA55D9">
      <w:tc>
        <w:tcPr>
          <w:tcW w:w="1255" w:type="dxa"/>
          <w:shd w:val="clear" w:color="auto" w:fill="BFBFBF" w:themeFill="background1" w:themeFillShade="BF"/>
          <w:vAlign w:val="center"/>
        </w:tcPr>
        <w:p w14:paraId="78CD2218" w14:textId="77777777" w:rsidR="00F94543" w:rsidRPr="00C76DF3" w:rsidRDefault="00221550" w:rsidP="00370875">
          <w:pPr>
            <w:pStyle w:val="ProductList-OfferingBody"/>
            <w:ind w:left="-77" w:right="-73"/>
            <w:jc w:val="center"/>
            <w:rPr>
              <w:color w:val="808080" w:themeColor="background1" w:themeShade="80"/>
              <w:sz w:val="14"/>
              <w:szCs w:val="14"/>
            </w:rPr>
          </w:pPr>
          <w:hyperlink w:anchor="TableOfContents" w:history="1">
            <w:r w:rsidR="00F94543">
              <w:rPr>
                <w:rStyle w:val="Hyperlink"/>
                <w:sz w:val="14"/>
                <w:szCs w:val="14"/>
              </w:rPr>
              <w:t>Spis treści</w:t>
            </w:r>
          </w:hyperlink>
        </w:p>
      </w:tc>
      <w:tc>
        <w:tcPr>
          <w:tcW w:w="181" w:type="dxa"/>
          <w:tcBorders>
            <w:top w:val="nil"/>
            <w:bottom w:val="nil"/>
          </w:tcBorders>
          <w:vAlign w:val="center"/>
        </w:tcPr>
        <w:p w14:paraId="70A1EB6D" w14:textId="77777777" w:rsidR="00F94543" w:rsidRPr="00C76DF3" w:rsidRDefault="00F9454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94543" w:rsidRPr="00C76DF3" w:rsidRDefault="00221550" w:rsidP="00370875">
          <w:pPr>
            <w:pStyle w:val="ProductList-OfferingBody"/>
            <w:ind w:left="-72" w:right="-74"/>
            <w:jc w:val="center"/>
            <w:rPr>
              <w:color w:val="808080" w:themeColor="background1" w:themeShade="80"/>
              <w:sz w:val="14"/>
              <w:szCs w:val="14"/>
            </w:rPr>
          </w:pPr>
          <w:hyperlink w:anchor="Introduction" w:history="1">
            <w:r w:rsidR="00F94543">
              <w:rPr>
                <w:rStyle w:val="Hyperlink"/>
                <w:sz w:val="14"/>
                <w:szCs w:val="14"/>
              </w:rPr>
              <w:t>Wprowadzenie</w:t>
            </w:r>
          </w:hyperlink>
        </w:p>
      </w:tc>
      <w:tc>
        <w:tcPr>
          <w:tcW w:w="182" w:type="dxa"/>
          <w:tcBorders>
            <w:top w:val="nil"/>
            <w:bottom w:val="nil"/>
          </w:tcBorders>
          <w:vAlign w:val="center"/>
        </w:tcPr>
        <w:p w14:paraId="1BEA070D" w14:textId="77777777" w:rsidR="00F94543" w:rsidRPr="00C76DF3" w:rsidRDefault="00F9454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94543" w:rsidRPr="00C76DF3" w:rsidRDefault="00221550" w:rsidP="00370875">
          <w:pPr>
            <w:pStyle w:val="ProductList-OfferingBody"/>
            <w:ind w:left="-72" w:right="-75"/>
            <w:jc w:val="center"/>
            <w:rPr>
              <w:color w:val="808080" w:themeColor="background1" w:themeShade="80"/>
              <w:sz w:val="14"/>
              <w:szCs w:val="14"/>
            </w:rPr>
          </w:pPr>
          <w:hyperlink w:anchor="LicenseTerms" w:history="1">
            <w:r w:rsidR="00F94543">
              <w:rPr>
                <w:rStyle w:val="Hyperlink"/>
                <w:sz w:val="14"/>
                <w:szCs w:val="14"/>
              </w:rPr>
              <w:t>Postanowienia licencyjne</w:t>
            </w:r>
          </w:hyperlink>
        </w:p>
      </w:tc>
      <w:tc>
        <w:tcPr>
          <w:tcW w:w="183" w:type="dxa"/>
          <w:tcBorders>
            <w:top w:val="nil"/>
            <w:bottom w:val="nil"/>
          </w:tcBorders>
          <w:vAlign w:val="center"/>
        </w:tcPr>
        <w:p w14:paraId="0B872E91" w14:textId="77777777" w:rsidR="00F94543" w:rsidRPr="00C76DF3" w:rsidRDefault="00F9454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94543" w:rsidRPr="00C76DF3" w:rsidRDefault="00221550" w:rsidP="00370875">
          <w:pPr>
            <w:pStyle w:val="ProductList-OfferingBody"/>
            <w:ind w:left="-72" w:right="-77"/>
            <w:jc w:val="center"/>
            <w:rPr>
              <w:color w:val="808080" w:themeColor="background1" w:themeShade="80"/>
              <w:sz w:val="14"/>
              <w:szCs w:val="14"/>
            </w:rPr>
          </w:pPr>
          <w:hyperlink w:anchor="Software" w:history="1">
            <w:r w:rsidR="00F94543">
              <w:rPr>
                <w:rStyle w:val="Hyperlink"/>
                <w:sz w:val="14"/>
                <w:szCs w:val="14"/>
              </w:rPr>
              <w:t>Oprogramowanie</w:t>
            </w:r>
          </w:hyperlink>
        </w:p>
      </w:tc>
      <w:tc>
        <w:tcPr>
          <w:tcW w:w="185" w:type="dxa"/>
          <w:tcBorders>
            <w:top w:val="nil"/>
            <w:bottom w:val="nil"/>
          </w:tcBorders>
          <w:vAlign w:val="center"/>
        </w:tcPr>
        <w:p w14:paraId="408E6BFE" w14:textId="77777777" w:rsidR="00F94543" w:rsidRPr="00C76DF3" w:rsidRDefault="00F9454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94543" w:rsidRPr="00C76DF3" w:rsidRDefault="00221550" w:rsidP="00370875">
          <w:pPr>
            <w:pStyle w:val="ProductList-OfferingBody"/>
            <w:ind w:left="-72" w:right="-77"/>
            <w:jc w:val="center"/>
            <w:rPr>
              <w:color w:val="808080" w:themeColor="background1" w:themeShade="80"/>
              <w:sz w:val="14"/>
              <w:szCs w:val="14"/>
            </w:rPr>
          </w:pPr>
          <w:hyperlink w:anchor="OnlineServices" w:history="1">
            <w:r w:rsidR="00F94543">
              <w:rPr>
                <w:rStyle w:val="Hyperlink"/>
                <w:sz w:val="14"/>
                <w:szCs w:val="14"/>
              </w:rPr>
              <w:t>Usługi Online</w:t>
            </w:r>
          </w:hyperlink>
        </w:p>
      </w:tc>
      <w:tc>
        <w:tcPr>
          <w:tcW w:w="180" w:type="dxa"/>
          <w:tcBorders>
            <w:top w:val="nil"/>
            <w:bottom w:val="nil"/>
          </w:tcBorders>
        </w:tcPr>
        <w:p w14:paraId="360EA458" w14:textId="77777777" w:rsidR="00F94543" w:rsidRPr="00C76DF3" w:rsidRDefault="00F9454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94543" w:rsidRPr="00C76DF3" w:rsidRDefault="0022155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94543">
              <w:rPr>
                <w:rStyle w:val="Hyperlink"/>
                <w:sz w:val="14"/>
                <w:szCs w:val="14"/>
              </w:rPr>
              <w:t>Słowniczek</w:t>
            </w:r>
          </w:hyperlink>
          <w:r w:rsidR="00F9454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94543" w:rsidRPr="00C76DF3" w:rsidRDefault="00F9454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94543" w:rsidRPr="00C76DF3" w:rsidRDefault="00221550" w:rsidP="00370875">
          <w:pPr>
            <w:pStyle w:val="ProductList-OfferingBody"/>
            <w:ind w:left="-72" w:right="-76"/>
            <w:jc w:val="center"/>
            <w:rPr>
              <w:color w:val="808080" w:themeColor="background1" w:themeShade="80"/>
              <w:sz w:val="14"/>
              <w:szCs w:val="14"/>
            </w:rPr>
          </w:pPr>
          <w:hyperlink w:anchor="AppendixA" w:history="1">
            <w:r w:rsidR="00F94543">
              <w:rPr>
                <w:rStyle w:val="Hyperlink"/>
                <w:sz w:val="14"/>
                <w:szCs w:val="14"/>
              </w:rPr>
              <w:t>Załączniki</w:t>
            </w:r>
          </w:hyperlink>
        </w:p>
      </w:tc>
      <w:tc>
        <w:tcPr>
          <w:tcW w:w="184" w:type="dxa"/>
          <w:tcBorders>
            <w:top w:val="nil"/>
            <w:bottom w:val="nil"/>
          </w:tcBorders>
          <w:vAlign w:val="center"/>
        </w:tcPr>
        <w:p w14:paraId="49886511" w14:textId="77777777" w:rsidR="00F94543" w:rsidRPr="00C76DF3" w:rsidRDefault="00F9454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94543" w:rsidRPr="00C76DF3" w:rsidRDefault="00221550" w:rsidP="00370875">
          <w:pPr>
            <w:pStyle w:val="ProductList-OfferingBody"/>
            <w:ind w:left="-72" w:right="-74"/>
            <w:jc w:val="center"/>
            <w:rPr>
              <w:color w:val="808080" w:themeColor="background1" w:themeShade="80"/>
              <w:sz w:val="14"/>
              <w:szCs w:val="14"/>
            </w:rPr>
          </w:pPr>
          <w:hyperlink w:anchor="Index" w:history="1">
            <w:r w:rsidR="00F94543">
              <w:rPr>
                <w:rStyle w:val="Hyperlink"/>
                <w:sz w:val="14"/>
                <w:szCs w:val="14"/>
              </w:rPr>
              <w:t>Indeks</w:t>
            </w:r>
          </w:hyperlink>
        </w:p>
      </w:tc>
    </w:tr>
  </w:tbl>
  <w:p w14:paraId="55876EE2" w14:textId="77777777" w:rsidR="00F94543" w:rsidRDefault="00F94543"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4543" w:rsidRPr="00C76DF3" w14:paraId="49EBE58A" w14:textId="77777777" w:rsidTr="00B5200C">
      <w:tc>
        <w:tcPr>
          <w:tcW w:w="1255" w:type="dxa"/>
          <w:shd w:val="clear" w:color="auto" w:fill="F2F2F2" w:themeFill="background1" w:themeFillShade="F2"/>
          <w:vAlign w:val="center"/>
        </w:tcPr>
        <w:p w14:paraId="102377D2" w14:textId="77777777" w:rsidR="00F94543" w:rsidRPr="00C76DF3" w:rsidRDefault="00221550" w:rsidP="00370875">
          <w:pPr>
            <w:pStyle w:val="ProductList-OfferingBody"/>
            <w:ind w:left="-77" w:right="-73"/>
            <w:jc w:val="center"/>
            <w:rPr>
              <w:color w:val="808080" w:themeColor="background1" w:themeShade="80"/>
              <w:sz w:val="14"/>
              <w:szCs w:val="14"/>
            </w:rPr>
          </w:pPr>
          <w:hyperlink w:anchor="TableOfContents" w:history="1">
            <w:r w:rsidR="00F94543">
              <w:rPr>
                <w:rStyle w:val="Hyperlink"/>
                <w:sz w:val="14"/>
                <w:szCs w:val="14"/>
              </w:rPr>
              <w:t>Spis treści</w:t>
            </w:r>
          </w:hyperlink>
        </w:p>
      </w:tc>
      <w:tc>
        <w:tcPr>
          <w:tcW w:w="181" w:type="dxa"/>
          <w:tcBorders>
            <w:top w:val="nil"/>
            <w:bottom w:val="nil"/>
          </w:tcBorders>
          <w:vAlign w:val="center"/>
        </w:tcPr>
        <w:p w14:paraId="3BB867E4" w14:textId="77777777" w:rsidR="00F94543" w:rsidRPr="00C76DF3" w:rsidRDefault="00F9454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4543" w:rsidRPr="00C76DF3" w:rsidRDefault="00221550" w:rsidP="00370875">
          <w:pPr>
            <w:pStyle w:val="ProductList-OfferingBody"/>
            <w:ind w:left="-72" w:right="-74"/>
            <w:jc w:val="center"/>
            <w:rPr>
              <w:color w:val="808080" w:themeColor="background1" w:themeShade="80"/>
              <w:sz w:val="14"/>
              <w:szCs w:val="14"/>
            </w:rPr>
          </w:pPr>
          <w:hyperlink w:anchor="Introduction" w:history="1">
            <w:r w:rsidR="00F94543">
              <w:rPr>
                <w:rStyle w:val="Hyperlink"/>
                <w:sz w:val="14"/>
                <w:szCs w:val="14"/>
              </w:rPr>
              <w:t>Wprowadzenie</w:t>
            </w:r>
          </w:hyperlink>
        </w:p>
      </w:tc>
      <w:tc>
        <w:tcPr>
          <w:tcW w:w="182" w:type="dxa"/>
          <w:tcBorders>
            <w:top w:val="nil"/>
            <w:bottom w:val="nil"/>
          </w:tcBorders>
          <w:vAlign w:val="center"/>
        </w:tcPr>
        <w:p w14:paraId="53D82520" w14:textId="77777777" w:rsidR="00F94543" w:rsidRPr="00C76DF3" w:rsidRDefault="00F9454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4543" w:rsidRPr="00C76DF3" w:rsidRDefault="00221550" w:rsidP="00370875">
          <w:pPr>
            <w:pStyle w:val="ProductList-OfferingBody"/>
            <w:ind w:left="-72" w:right="-75"/>
            <w:jc w:val="center"/>
            <w:rPr>
              <w:color w:val="808080" w:themeColor="background1" w:themeShade="80"/>
              <w:sz w:val="14"/>
              <w:szCs w:val="14"/>
            </w:rPr>
          </w:pPr>
          <w:hyperlink w:anchor="LicenseTerms" w:history="1">
            <w:r w:rsidR="00F94543">
              <w:rPr>
                <w:rStyle w:val="Hyperlink"/>
                <w:sz w:val="14"/>
                <w:szCs w:val="14"/>
              </w:rPr>
              <w:t>Postanowienia licencyjne</w:t>
            </w:r>
          </w:hyperlink>
        </w:p>
      </w:tc>
      <w:tc>
        <w:tcPr>
          <w:tcW w:w="183" w:type="dxa"/>
          <w:tcBorders>
            <w:top w:val="nil"/>
            <w:bottom w:val="nil"/>
          </w:tcBorders>
          <w:vAlign w:val="center"/>
        </w:tcPr>
        <w:p w14:paraId="1125AF40" w14:textId="77777777" w:rsidR="00F94543" w:rsidRPr="00C76DF3" w:rsidRDefault="00F9454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4543" w:rsidRPr="00C76DF3" w:rsidRDefault="00221550" w:rsidP="00370875">
          <w:pPr>
            <w:pStyle w:val="ProductList-OfferingBody"/>
            <w:ind w:left="-72" w:right="-77"/>
            <w:jc w:val="center"/>
            <w:rPr>
              <w:color w:val="808080" w:themeColor="background1" w:themeShade="80"/>
              <w:sz w:val="14"/>
              <w:szCs w:val="14"/>
            </w:rPr>
          </w:pPr>
          <w:hyperlink w:anchor="Software" w:history="1">
            <w:r w:rsidR="00F94543">
              <w:rPr>
                <w:rStyle w:val="Hyperlink"/>
                <w:sz w:val="14"/>
                <w:szCs w:val="14"/>
              </w:rPr>
              <w:t>Oprogramowanie</w:t>
            </w:r>
          </w:hyperlink>
        </w:p>
      </w:tc>
      <w:tc>
        <w:tcPr>
          <w:tcW w:w="185" w:type="dxa"/>
          <w:tcBorders>
            <w:top w:val="nil"/>
            <w:bottom w:val="nil"/>
          </w:tcBorders>
          <w:vAlign w:val="center"/>
        </w:tcPr>
        <w:p w14:paraId="1E5F93B5" w14:textId="77777777" w:rsidR="00F94543" w:rsidRPr="00C76DF3" w:rsidRDefault="00F9454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4543" w:rsidRPr="00C76DF3" w:rsidRDefault="00221550" w:rsidP="000506C5">
          <w:pPr>
            <w:pStyle w:val="ProductList-OfferingBody"/>
            <w:ind w:left="-72" w:right="-77"/>
            <w:jc w:val="center"/>
            <w:rPr>
              <w:color w:val="808080" w:themeColor="background1" w:themeShade="80"/>
              <w:sz w:val="14"/>
              <w:szCs w:val="14"/>
            </w:rPr>
          </w:pPr>
          <w:hyperlink w:anchor="OnlineServices" w:history="1">
            <w:r w:rsidR="00F94543">
              <w:rPr>
                <w:rStyle w:val="Hyperlink"/>
                <w:sz w:val="14"/>
                <w:szCs w:val="14"/>
              </w:rPr>
              <w:t>Usługi Online</w:t>
            </w:r>
          </w:hyperlink>
        </w:p>
      </w:tc>
      <w:tc>
        <w:tcPr>
          <w:tcW w:w="180" w:type="dxa"/>
          <w:tcBorders>
            <w:top w:val="nil"/>
            <w:bottom w:val="nil"/>
          </w:tcBorders>
        </w:tcPr>
        <w:p w14:paraId="774E3CA7" w14:textId="77777777" w:rsidR="00F94543" w:rsidRPr="00C76DF3" w:rsidRDefault="00F9454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4543" w:rsidRPr="00C76DF3" w:rsidRDefault="0022155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4543">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F94543" w:rsidRPr="00C76DF3" w:rsidRDefault="00F9454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4543" w:rsidRPr="00C76DF3" w:rsidRDefault="00221550" w:rsidP="00370875">
          <w:pPr>
            <w:pStyle w:val="ProductList-OfferingBody"/>
            <w:ind w:left="-72" w:right="-76"/>
            <w:jc w:val="center"/>
            <w:rPr>
              <w:color w:val="808080" w:themeColor="background1" w:themeShade="80"/>
              <w:sz w:val="14"/>
              <w:szCs w:val="14"/>
            </w:rPr>
          </w:pPr>
          <w:hyperlink w:anchor="AppendixA" w:history="1">
            <w:r w:rsidR="00F94543">
              <w:rPr>
                <w:rStyle w:val="Hyperlink"/>
                <w:sz w:val="14"/>
                <w:szCs w:val="14"/>
              </w:rPr>
              <w:t>Załączniki</w:t>
            </w:r>
          </w:hyperlink>
        </w:p>
      </w:tc>
      <w:tc>
        <w:tcPr>
          <w:tcW w:w="184" w:type="dxa"/>
          <w:tcBorders>
            <w:top w:val="nil"/>
            <w:bottom w:val="nil"/>
          </w:tcBorders>
          <w:vAlign w:val="center"/>
        </w:tcPr>
        <w:p w14:paraId="54B478A3" w14:textId="77777777" w:rsidR="00F94543" w:rsidRPr="00C76DF3" w:rsidRDefault="00F9454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4543" w:rsidRPr="00C76DF3" w:rsidRDefault="00221550" w:rsidP="00370875">
          <w:pPr>
            <w:pStyle w:val="ProductList-OfferingBody"/>
            <w:ind w:left="-72" w:right="-74"/>
            <w:jc w:val="center"/>
            <w:rPr>
              <w:color w:val="808080" w:themeColor="background1" w:themeShade="80"/>
              <w:sz w:val="14"/>
              <w:szCs w:val="14"/>
            </w:rPr>
          </w:pPr>
          <w:hyperlink w:anchor="Index" w:history="1">
            <w:r w:rsidR="00F94543">
              <w:rPr>
                <w:rStyle w:val="Hyperlink"/>
                <w:sz w:val="14"/>
                <w:szCs w:val="14"/>
              </w:rPr>
              <w:t>Indeks</w:t>
            </w:r>
          </w:hyperlink>
        </w:p>
      </w:tc>
    </w:tr>
  </w:tbl>
  <w:p w14:paraId="79D1A8DC" w14:textId="77777777" w:rsidR="00F94543" w:rsidRDefault="00F94543"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63DDB396" w14:textId="77777777" w:rsidTr="009977A8">
      <w:tc>
        <w:tcPr>
          <w:tcW w:w="1980" w:type="dxa"/>
          <w:shd w:val="clear" w:color="auto" w:fill="F2F2F2"/>
          <w:vAlign w:val="center"/>
        </w:tcPr>
        <w:p w14:paraId="28C50177" w14:textId="77777777" w:rsidR="00F94543" w:rsidRPr="00D56852" w:rsidRDefault="00221550"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F94543" w:rsidRPr="006F0B13" w:rsidRDefault="00F94543"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F94543" w:rsidRPr="00D56852" w:rsidRDefault="00221550"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F94543" w:rsidRPr="00D56852" w:rsidRDefault="00221550"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F94543" w:rsidRPr="00D56852" w:rsidRDefault="00221550"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F94543" w:rsidRPr="00D56852" w:rsidRDefault="00221550"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4B3F6047" w14:textId="77777777" w:rsidR="00F94543" w:rsidRDefault="00F94543" w:rsidP="00C82F0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27E5A447" w14:textId="77777777" w:rsidTr="00B026B6">
      <w:tc>
        <w:tcPr>
          <w:tcW w:w="1980" w:type="dxa"/>
          <w:shd w:val="clear" w:color="auto" w:fill="F2F2F2"/>
          <w:vAlign w:val="center"/>
        </w:tcPr>
        <w:p w14:paraId="132D14E7" w14:textId="77777777" w:rsidR="00F94543" w:rsidRPr="00D56852" w:rsidRDefault="0022155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F94543" w:rsidRPr="006F0B13" w:rsidRDefault="00F94543"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F94543" w:rsidRPr="00D56852" w:rsidRDefault="0022155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F94543" w:rsidRPr="00D56852" w:rsidRDefault="0022155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F94543" w:rsidRPr="00D56852" w:rsidRDefault="0022155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F94543" w:rsidRPr="00D56852" w:rsidRDefault="0022155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2FDC0F16" w14:textId="77777777" w:rsidR="00F94543" w:rsidRDefault="00F94543" w:rsidP="00D849F2">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F94543" w:rsidRPr="006B3495" w14:paraId="60333C6A" w14:textId="77777777" w:rsidTr="00541DCC">
      <w:tc>
        <w:tcPr>
          <w:tcW w:w="1980" w:type="dxa"/>
          <w:shd w:val="clear" w:color="auto" w:fill="F2F2F2"/>
          <w:vAlign w:val="center"/>
        </w:tcPr>
        <w:p w14:paraId="385FEAC0" w14:textId="77777777" w:rsidR="00F94543" w:rsidRPr="00D56852" w:rsidRDefault="0022155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F94543"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F94543" w:rsidRPr="006F0B13" w:rsidRDefault="00F94543"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F94543" w:rsidRPr="00D56852" w:rsidRDefault="0022155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F94543"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F94543" w:rsidRPr="00D56852" w:rsidRDefault="0022155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F94543"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F94543" w:rsidRPr="00D56852" w:rsidRDefault="0022155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F94543" w:rsidRPr="00D56852">
              <w:rPr>
                <w:rStyle w:val="LogoportDoNotTranslate"/>
                <w:rFonts w:asciiTheme="minorHAnsi" w:hAnsiTheme="minorHAnsi"/>
                <w:color w:val="0563C1"/>
                <w:sz w:val="14"/>
                <w:szCs w:val="14"/>
                <w:u w:val="single"/>
              </w:rPr>
              <w:t>Postanowienia Dotyczące Danej</w:t>
            </w:r>
            <w:r w:rsidR="00F94543">
              <w:rPr>
                <w:rStyle w:val="LogoportDoNotTranslate"/>
                <w:rFonts w:asciiTheme="minorHAnsi" w:hAnsiTheme="minorHAnsi"/>
                <w:color w:val="0563C1"/>
                <w:sz w:val="14"/>
                <w:szCs w:val="14"/>
                <w:u w:val="single"/>
              </w:rPr>
              <w:t> </w:t>
            </w:r>
            <w:r w:rsidR="00F94543"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F94543" w:rsidRPr="006F0B13" w:rsidRDefault="00F94543"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F94543" w:rsidRPr="00D56852" w:rsidRDefault="0022155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F94543" w:rsidRPr="00D56852">
              <w:rPr>
                <w:rStyle w:val="LogoportDoNotTranslate"/>
                <w:rFonts w:asciiTheme="minorHAnsi" w:hAnsiTheme="minorHAnsi"/>
                <w:color w:val="0563C1"/>
                <w:sz w:val="14"/>
                <w:szCs w:val="14"/>
                <w:u w:val="single"/>
              </w:rPr>
              <w:t>Appendices</w:t>
            </w:r>
          </w:hyperlink>
        </w:p>
      </w:tc>
    </w:tr>
  </w:tbl>
  <w:p w14:paraId="28A19E01" w14:textId="77777777" w:rsidR="00F94543" w:rsidRDefault="00F94543"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6A962" w14:textId="77777777" w:rsidR="00735A34" w:rsidRDefault="00735A34" w:rsidP="009A573F">
      <w:pPr>
        <w:spacing w:after="0" w:line="240" w:lineRule="auto"/>
      </w:pPr>
      <w:r>
        <w:separator/>
      </w:r>
    </w:p>
  </w:footnote>
  <w:footnote w:type="continuationSeparator" w:id="0">
    <w:p w14:paraId="595C240B" w14:textId="77777777" w:rsidR="00735A34" w:rsidRDefault="00735A34" w:rsidP="009A573F">
      <w:pPr>
        <w:spacing w:after="0" w:line="240" w:lineRule="auto"/>
      </w:pPr>
      <w:r>
        <w:continuationSeparator/>
      </w:r>
    </w:p>
  </w:footnote>
  <w:footnote w:type="continuationNotice" w:id="1">
    <w:p w14:paraId="2284E6ED" w14:textId="77777777" w:rsidR="00735A34" w:rsidRDefault="00735A3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8F9C7" w14:textId="77777777" w:rsidR="00221550" w:rsidRDefault="002215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68B808B" w:rsidR="00F94543" w:rsidRPr="00DC2685" w:rsidRDefault="00221550" w:rsidP="00F9454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94543">
              <w:rPr>
                <w:sz w:val="16"/>
                <w:szCs w:val="16"/>
              </w:rPr>
              <w:t>Umowa Dotycząca Poziomu Usług dla Usług Microsoft Online w ramach programu Licencjonowania Zbiorowego Microsoft (wersja polska, 4 maja</w:t>
            </w:r>
            <w:r w:rsidR="00F94543" w:rsidRPr="00622035">
              <w:rPr>
                <w:sz w:val="16"/>
                <w:szCs w:val="16"/>
              </w:rPr>
              <w:t xml:space="preserve"> 2015 r</w:t>
            </w:r>
            <w:r w:rsidR="00F94543">
              <w:rPr>
                <w:sz w:val="16"/>
                <w:szCs w:val="16"/>
              </w:rPr>
              <w:t>.)</w:t>
            </w:r>
            <w:r w:rsidR="00F94543">
              <w:rPr>
                <w:sz w:val="16"/>
                <w:szCs w:val="16"/>
              </w:rPr>
              <w:tab/>
            </w:r>
            <w:r w:rsidR="00F94543">
              <w:rPr>
                <w:sz w:val="16"/>
                <w:szCs w:val="16"/>
              </w:rPr>
              <w:fldChar w:fldCharType="begin"/>
            </w:r>
            <w:r w:rsidR="00F94543" w:rsidRPr="00A247F3">
              <w:rPr>
                <w:sz w:val="16"/>
                <w:szCs w:val="16"/>
              </w:rPr>
              <w:instrText xml:space="preserve"> PAGE </w:instrText>
            </w:r>
            <w:r w:rsidR="00F94543">
              <w:rPr>
                <w:sz w:val="16"/>
                <w:szCs w:val="16"/>
              </w:rPr>
              <w:fldChar w:fldCharType="separate"/>
            </w:r>
            <w:r>
              <w:rPr>
                <w:noProof/>
                <w:sz w:val="16"/>
                <w:szCs w:val="16"/>
              </w:rPr>
              <w:t>22</w:t>
            </w:r>
            <w:r w:rsidR="00F94543">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8326" w14:textId="77777777" w:rsidR="00221550" w:rsidRDefault="002215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F7CA0D0" w:rsidR="00F94543" w:rsidRPr="00DC2685" w:rsidRDefault="00221550" w:rsidP="00F94543">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F94543">
          <w:rPr>
            <w:sz w:val="16"/>
            <w:szCs w:val="16"/>
          </w:rPr>
          <w:t>Umowa Dotycząca Poziomu Usług dla Usług Microsoft Online w ramach programu Licencjonowania Zbiorowego Microsoft (wersja polska, 4 maja</w:t>
        </w:r>
        <w:r w:rsidR="00F94543" w:rsidRPr="00622035">
          <w:rPr>
            <w:sz w:val="16"/>
            <w:szCs w:val="16"/>
          </w:rPr>
          <w:t xml:space="preserve"> 2015 r</w:t>
        </w:r>
        <w:r w:rsidR="00F94543">
          <w:rPr>
            <w:sz w:val="16"/>
            <w:szCs w:val="16"/>
          </w:rPr>
          <w:t>.)</w:t>
        </w:r>
        <w:r w:rsidR="00F94543">
          <w:rPr>
            <w:sz w:val="16"/>
            <w:szCs w:val="16"/>
          </w:rPr>
          <w:tab/>
        </w:r>
        <w:r w:rsidR="00F94543">
          <w:rPr>
            <w:sz w:val="16"/>
            <w:szCs w:val="16"/>
          </w:rPr>
          <w:fldChar w:fldCharType="begin"/>
        </w:r>
        <w:r w:rsidR="00F94543" w:rsidRPr="00A247F3">
          <w:rPr>
            <w:sz w:val="16"/>
            <w:szCs w:val="16"/>
          </w:rPr>
          <w:instrText xml:space="preserve"> PAGE </w:instrText>
        </w:r>
        <w:r w:rsidR="00F94543">
          <w:rPr>
            <w:sz w:val="16"/>
            <w:szCs w:val="16"/>
          </w:rPr>
          <w:fldChar w:fldCharType="separate"/>
        </w:r>
        <w:r>
          <w:rPr>
            <w:noProof/>
            <w:sz w:val="16"/>
            <w:szCs w:val="16"/>
          </w:rPr>
          <w:t>3</w:t>
        </w:r>
        <w:r w:rsidR="00F94543">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S+ERt3bIGANBOmwmJPiaNooGSEHSMFNzAuEyyUA1zp+kAshzQosg5uxH9f/UgFvC1JxyTuCOY1Gnah0qr7Ai0A==" w:salt="Jjj/vhIpwzSnyRggd8bpY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550"/>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5D13"/>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E28"/>
    <w:rsid w:val="00617627"/>
    <w:rsid w:val="00622035"/>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285"/>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4D5F"/>
    <w:rsid w:val="00B45BE8"/>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06E2-0B2C-4350-B7B4-06126731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17876</Words>
  <Characters>101898</Characters>
  <Application>Microsoft Office Word</Application>
  <DocSecurity>8</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2015-05-06T18:13:00Z</dcterms:created>
  <dcterms:modified xsi:type="dcterms:W3CDTF">2015-05-06T18:14:00Z</dcterms:modified>
</cp:coreProperties>
</file>