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17FB86BD" w:rsidR="003C5DCA" w:rsidRPr="00DD1580" w:rsidRDefault="003C5DCA" w:rsidP="003C5DC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C53A21" w:rsidRPr="00C53A21">
        <w:rPr>
          <w:rFonts w:asciiTheme="majorHAnsi" w:hAnsiTheme="majorHAnsi"/>
          <w:color w:val="FFFFFF" w:themeColor="background1"/>
          <w:sz w:val="72"/>
          <w:szCs w:val="72"/>
        </w:rPr>
        <w:t>listopad</w:t>
      </w:r>
      <w:r w:rsidR="00553C87" w:rsidRPr="00553C87">
        <w:rPr>
          <w:rFonts w:asciiTheme="majorHAnsi" w:hAnsiTheme="majorHAnsi"/>
          <w:color w:val="FFFFFF" w:themeColor="background1"/>
          <w:sz w:val="72"/>
          <w:szCs w:val="72"/>
        </w:rPr>
        <w:t xml:space="preserve"> </w:t>
      </w:r>
      <w:r w:rsidR="00E7208F">
        <w:rPr>
          <w:rFonts w:asciiTheme="majorHAnsi" w:hAnsiTheme="majorHAnsi"/>
          <w:color w:val="FFFFFF" w:themeColor="background1"/>
          <w:sz w:val="72"/>
          <w:szCs w:val="72"/>
        </w:rPr>
        <w:t xml:space="preserve">2020 </w:t>
      </w:r>
      <w:r>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7012"/>
      <w:r>
        <w:lastRenderedPageBreak/>
        <w:t>Spis treści</w:t>
      </w:r>
      <w:bookmarkEnd w:id="2"/>
      <w:bookmarkEnd w:id="3"/>
    </w:p>
    <w:p w14:paraId="6BA56620" w14:textId="13A95925" w:rsidR="003960F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4937012" w:history="1">
        <w:r w:rsidR="003960FC" w:rsidRPr="00A66580">
          <w:rPr>
            <w:rStyle w:val="Hyperlink"/>
            <w:noProof/>
          </w:rPr>
          <w:t>Spis treści</w:t>
        </w:r>
        <w:r w:rsidR="003960FC">
          <w:rPr>
            <w:noProof/>
            <w:webHidden/>
          </w:rPr>
          <w:tab/>
        </w:r>
        <w:r w:rsidR="003960FC">
          <w:rPr>
            <w:noProof/>
            <w:webHidden/>
          </w:rPr>
          <w:fldChar w:fldCharType="begin"/>
        </w:r>
        <w:r w:rsidR="003960FC">
          <w:rPr>
            <w:noProof/>
            <w:webHidden/>
          </w:rPr>
          <w:instrText xml:space="preserve"> PAGEREF _Toc54937012 \h </w:instrText>
        </w:r>
        <w:r w:rsidR="003960FC">
          <w:rPr>
            <w:noProof/>
            <w:webHidden/>
          </w:rPr>
        </w:r>
        <w:r w:rsidR="003960FC">
          <w:rPr>
            <w:noProof/>
            <w:webHidden/>
          </w:rPr>
          <w:fldChar w:fldCharType="separate"/>
        </w:r>
        <w:r w:rsidR="003960FC">
          <w:rPr>
            <w:noProof/>
            <w:webHidden/>
          </w:rPr>
          <w:t>2</w:t>
        </w:r>
        <w:r w:rsidR="003960FC">
          <w:rPr>
            <w:noProof/>
            <w:webHidden/>
          </w:rPr>
          <w:fldChar w:fldCharType="end"/>
        </w:r>
      </w:hyperlink>
    </w:p>
    <w:p w14:paraId="434BC12D" w14:textId="11F0F40E" w:rsidR="003960FC" w:rsidRDefault="00DF4828">
      <w:pPr>
        <w:pStyle w:val="TOC1"/>
        <w:tabs>
          <w:tab w:val="right" w:leader="dot" w:pos="5030"/>
        </w:tabs>
        <w:rPr>
          <w:rFonts w:eastAsiaTheme="minorEastAsia"/>
          <w:b w:val="0"/>
          <w:caps w:val="0"/>
          <w:noProof/>
          <w:sz w:val="22"/>
          <w:lang w:val="en-US" w:eastAsia="en-US" w:bidi="ar-SA"/>
        </w:rPr>
      </w:pPr>
      <w:hyperlink w:anchor="_Toc54937013" w:history="1">
        <w:r w:rsidR="003960FC" w:rsidRPr="00A66580">
          <w:rPr>
            <w:rStyle w:val="Hyperlink"/>
            <w:noProof/>
          </w:rPr>
          <w:t>Wprowadzenie</w:t>
        </w:r>
        <w:r w:rsidR="003960FC">
          <w:rPr>
            <w:noProof/>
            <w:webHidden/>
          </w:rPr>
          <w:tab/>
        </w:r>
        <w:r w:rsidR="003960FC">
          <w:rPr>
            <w:noProof/>
            <w:webHidden/>
          </w:rPr>
          <w:fldChar w:fldCharType="begin"/>
        </w:r>
        <w:r w:rsidR="003960FC">
          <w:rPr>
            <w:noProof/>
            <w:webHidden/>
          </w:rPr>
          <w:instrText xml:space="preserve"> PAGEREF _Toc54937013 \h </w:instrText>
        </w:r>
        <w:r w:rsidR="003960FC">
          <w:rPr>
            <w:noProof/>
            <w:webHidden/>
          </w:rPr>
        </w:r>
        <w:r w:rsidR="003960FC">
          <w:rPr>
            <w:noProof/>
            <w:webHidden/>
          </w:rPr>
          <w:fldChar w:fldCharType="separate"/>
        </w:r>
        <w:r w:rsidR="003960FC">
          <w:rPr>
            <w:noProof/>
            <w:webHidden/>
          </w:rPr>
          <w:t>3</w:t>
        </w:r>
        <w:r w:rsidR="003960FC">
          <w:rPr>
            <w:noProof/>
            <w:webHidden/>
          </w:rPr>
          <w:fldChar w:fldCharType="end"/>
        </w:r>
      </w:hyperlink>
    </w:p>
    <w:p w14:paraId="4C3EB663" w14:textId="7CBBA263" w:rsidR="003960FC" w:rsidRDefault="00DF4828">
      <w:pPr>
        <w:pStyle w:val="TOC1"/>
        <w:tabs>
          <w:tab w:val="right" w:leader="dot" w:pos="5030"/>
        </w:tabs>
        <w:rPr>
          <w:rFonts w:eastAsiaTheme="minorEastAsia"/>
          <w:b w:val="0"/>
          <w:caps w:val="0"/>
          <w:noProof/>
          <w:sz w:val="22"/>
          <w:lang w:val="en-US" w:eastAsia="en-US" w:bidi="ar-SA"/>
        </w:rPr>
      </w:pPr>
      <w:hyperlink w:anchor="_Toc54937014" w:history="1">
        <w:r w:rsidR="003960FC" w:rsidRPr="00A66580">
          <w:rPr>
            <w:rStyle w:val="Hyperlink"/>
            <w:noProof/>
          </w:rPr>
          <w:t>Ogólne Postanowienia</w:t>
        </w:r>
        <w:r w:rsidR="003960FC">
          <w:rPr>
            <w:noProof/>
            <w:webHidden/>
          </w:rPr>
          <w:tab/>
        </w:r>
        <w:r w:rsidR="003960FC">
          <w:rPr>
            <w:noProof/>
            <w:webHidden/>
          </w:rPr>
          <w:fldChar w:fldCharType="begin"/>
        </w:r>
        <w:r w:rsidR="003960FC">
          <w:rPr>
            <w:noProof/>
            <w:webHidden/>
          </w:rPr>
          <w:instrText xml:space="preserve"> PAGEREF _Toc54937014 \h </w:instrText>
        </w:r>
        <w:r w:rsidR="003960FC">
          <w:rPr>
            <w:noProof/>
            <w:webHidden/>
          </w:rPr>
        </w:r>
        <w:r w:rsidR="003960FC">
          <w:rPr>
            <w:noProof/>
            <w:webHidden/>
          </w:rPr>
          <w:fldChar w:fldCharType="separate"/>
        </w:r>
        <w:r w:rsidR="003960FC">
          <w:rPr>
            <w:noProof/>
            <w:webHidden/>
          </w:rPr>
          <w:t>4</w:t>
        </w:r>
        <w:r w:rsidR="003960FC">
          <w:rPr>
            <w:noProof/>
            <w:webHidden/>
          </w:rPr>
          <w:fldChar w:fldCharType="end"/>
        </w:r>
      </w:hyperlink>
    </w:p>
    <w:p w14:paraId="1CE7C20B" w14:textId="28EDDAC2" w:rsidR="003960FC" w:rsidRDefault="00DF4828">
      <w:pPr>
        <w:pStyle w:val="TOC1"/>
        <w:tabs>
          <w:tab w:val="right" w:leader="dot" w:pos="5030"/>
        </w:tabs>
        <w:rPr>
          <w:rFonts w:eastAsiaTheme="minorEastAsia"/>
          <w:b w:val="0"/>
          <w:caps w:val="0"/>
          <w:noProof/>
          <w:sz w:val="22"/>
          <w:lang w:val="en-US" w:eastAsia="en-US" w:bidi="ar-SA"/>
        </w:rPr>
      </w:pPr>
      <w:hyperlink w:anchor="_Toc54937015" w:history="1">
        <w:r w:rsidR="003960FC" w:rsidRPr="00A66580">
          <w:rPr>
            <w:rStyle w:val="Hyperlink"/>
            <w:noProof/>
          </w:rPr>
          <w:t>Postanowienia Dotyczące Danej Usługi</w:t>
        </w:r>
        <w:r w:rsidR="003960FC">
          <w:rPr>
            <w:noProof/>
            <w:webHidden/>
          </w:rPr>
          <w:tab/>
        </w:r>
        <w:r w:rsidR="003960FC">
          <w:rPr>
            <w:noProof/>
            <w:webHidden/>
          </w:rPr>
          <w:fldChar w:fldCharType="begin"/>
        </w:r>
        <w:r w:rsidR="003960FC">
          <w:rPr>
            <w:noProof/>
            <w:webHidden/>
          </w:rPr>
          <w:instrText xml:space="preserve"> PAGEREF _Toc54937015 \h </w:instrText>
        </w:r>
        <w:r w:rsidR="003960FC">
          <w:rPr>
            <w:noProof/>
            <w:webHidden/>
          </w:rPr>
        </w:r>
        <w:r w:rsidR="003960FC">
          <w:rPr>
            <w:noProof/>
            <w:webHidden/>
          </w:rPr>
          <w:fldChar w:fldCharType="separate"/>
        </w:r>
        <w:r w:rsidR="003960FC">
          <w:rPr>
            <w:noProof/>
            <w:webHidden/>
          </w:rPr>
          <w:t>6</w:t>
        </w:r>
        <w:r w:rsidR="003960FC">
          <w:rPr>
            <w:noProof/>
            <w:webHidden/>
          </w:rPr>
          <w:fldChar w:fldCharType="end"/>
        </w:r>
      </w:hyperlink>
    </w:p>
    <w:p w14:paraId="020BDDD1" w14:textId="392E7D32" w:rsidR="003960FC" w:rsidRDefault="00DF4828">
      <w:pPr>
        <w:pStyle w:val="TOC2"/>
        <w:tabs>
          <w:tab w:val="right" w:leader="dot" w:pos="5030"/>
        </w:tabs>
        <w:rPr>
          <w:rFonts w:eastAsiaTheme="minorEastAsia"/>
          <w:b w:val="0"/>
          <w:smallCaps w:val="0"/>
          <w:noProof/>
          <w:sz w:val="22"/>
          <w:lang w:val="en-US" w:eastAsia="en-US" w:bidi="ar-SA"/>
        </w:rPr>
      </w:pPr>
      <w:hyperlink w:anchor="_Toc54937016" w:history="1">
        <w:r w:rsidR="003960FC" w:rsidRPr="00A66580">
          <w:rPr>
            <w:rStyle w:val="Hyperlink"/>
            <w:noProof/>
            <w:lang w:val="en-US"/>
          </w:rPr>
          <w:t>Microsoft Dynamics 365</w:t>
        </w:r>
        <w:r w:rsidR="003960FC">
          <w:rPr>
            <w:noProof/>
            <w:webHidden/>
          </w:rPr>
          <w:tab/>
        </w:r>
        <w:r w:rsidR="003960FC">
          <w:rPr>
            <w:noProof/>
            <w:webHidden/>
          </w:rPr>
          <w:fldChar w:fldCharType="begin"/>
        </w:r>
        <w:r w:rsidR="003960FC">
          <w:rPr>
            <w:noProof/>
            <w:webHidden/>
          </w:rPr>
          <w:instrText xml:space="preserve"> PAGEREF _Toc54937016 \h </w:instrText>
        </w:r>
        <w:r w:rsidR="003960FC">
          <w:rPr>
            <w:noProof/>
            <w:webHidden/>
          </w:rPr>
        </w:r>
        <w:r w:rsidR="003960FC">
          <w:rPr>
            <w:noProof/>
            <w:webHidden/>
          </w:rPr>
          <w:fldChar w:fldCharType="separate"/>
        </w:r>
        <w:r w:rsidR="003960FC">
          <w:rPr>
            <w:noProof/>
            <w:webHidden/>
          </w:rPr>
          <w:t>6</w:t>
        </w:r>
        <w:r w:rsidR="003960FC">
          <w:rPr>
            <w:noProof/>
            <w:webHidden/>
          </w:rPr>
          <w:fldChar w:fldCharType="end"/>
        </w:r>
      </w:hyperlink>
    </w:p>
    <w:p w14:paraId="1C4948C9" w14:textId="667CE692" w:rsidR="003960FC" w:rsidRDefault="00DF4828">
      <w:pPr>
        <w:pStyle w:val="TOC4"/>
        <w:tabs>
          <w:tab w:val="right" w:leader="dot" w:pos="5030"/>
        </w:tabs>
        <w:rPr>
          <w:rFonts w:eastAsiaTheme="minorEastAsia"/>
          <w:smallCaps w:val="0"/>
          <w:noProof/>
          <w:sz w:val="22"/>
          <w:lang w:val="en-US" w:eastAsia="en-US" w:bidi="ar-SA"/>
        </w:rPr>
      </w:pPr>
      <w:hyperlink w:anchor="_Toc54937017" w:history="1">
        <w:r w:rsidR="003960FC" w:rsidRPr="00A66580">
          <w:rPr>
            <w:rStyle w:val="Hyperlink"/>
            <w:noProof/>
          </w:rPr>
          <w:t>Dynamics 365 Business Central</w:t>
        </w:r>
        <w:r w:rsidR="003960FC">
          <w:rPr>
            <w:noProof/>
            <w:webHidden/>
          </w:rPr>
          <w:tab/>
        </w:r>
        <w:r w:rsidR="003960FC">
          <w:rPr>
            <w:noProof/>
            <w:webHidden/>
          </w:rPr>
          <w:fldChar w:fldCharType="begin"/>
        </w:r>
        <w:r w:rsidR="003960FC">
          <w:rPr>
            <w:noProof/>
            <w:webHidden/>
          </w:rPr>
          <w:instrText xml:space="preserve"> PAGEREF _Toc54937017 \h </w:instrText>
        </w:r>
        <w:r w:rsidR="003960FC">
          <w:rPr>
            <w:noProof/>
            <w:webHidden/>
          </w:rPr>
        </w:r>
        <w:r w:rsidR="003960FC">
          <w:rPr>
            <w:noProof/>
            <w:webHidden/>
          </w:rPr>
          <w:fldChar w:fldCharType="separate"/>
        </w:r>
        <w:r w:rsidR="003960FC">
          <w:rPr>
            <w:noProof/>
            <w:webHidden/>
          </w:rPr>
          <w:t>6</w:t>
        </w:r>
        <w:r w:rsidR="003960FC">
          <w:rPr>
            <w:noProof/>
            <w:webHidden/>
          </w:rPr>
          <w:fldChar w:fldCharType="end"/>
        </w:r>
      </w:hyperlink>
    </w:p>
    <w:p w14:paraId="427A00CB" w14:textId="0D8B730B" w:rsidR="003960FC" w:rsidRDefault="00DF4828">
      <w:pPr>
        <w:pStyle w:val="TOC4"/>
        <w:tabs>
          <w:tab w:val="right" w:leader="dot" w:pos="5030"/>
        </w:tabs>
        <w:rPr>
          <w:rFonts w:eastAsiaTheme="minorEastAsia"/>
          <w:smallCaps w:val="0"/>
          <w:noProof/>
          <w:sz w:val="22"/>
          <w:lang w:val="en-US" w:eastAsia="en-US" w:bidi="ar-SA"/>
        </w:rPr>
      </w:pPr>
      <w:hyperlink w:anchor="_Toc54937018" w:history="1">
        <w:r w:rsidR="003960FC" w:rsidRPr="00A66580">
          <w:rPr>
            <w:rStyle w:val="Hyperlink"/>
            <w:noProof/>
          </w:rPr>
          <w:t>Dynamics 365 Commerce</w:t>
        </w:r>
        <w:r w:rsidR="003960FC">
          <w:rPr>
            <w:noProof/>
            <w:webHidden/>
          </w:rPr>
          <w:tab/>
        </w:r>
        <w:r w:rsidR="003960FC">
          <w:rPr>
            <w:noProof/>
            <w:webHidden/>
          </w:rPr>
          <w:fldChar w:fldCharType="begin"/>
        </w:r>
        <w:r w:rsidR="003960FC">
          <w:rPr>
            <w:noProof/>
            <w:webHidden/>
          </w:rPr>
          <w:instrText xml:space="preserve"> PAGEREF _Toc54937018 \h </w:instrText>
        </w:r>
        <w:r w:rsidR="003960FC">
          <w:rPr>
            <w:noProof/>
            <w:webHidden/>
          </w:rPr>
        </w:r>
        <w:r w:rsidR="003960FC">
          <w:rPr>
            <w:noProof/>
            <w:webHidden/>
          </w:rPr>
          <w:fldChar w:fldCharType="separate"/>
        </w:r>
        <w:r w:rsidR="003960FC">
          <w:rPr>
            <w:noProof/>
            <w:webHidden/>
          </w:rPr>
          <w:t>6</w:t>
        </w:r>
        <w:r w:rsidR="003960FC">
          <w:rPr>
            <w:noProof/>
            <w:webHidden/>
          </w:rPr>
          <w:fldChar w:fldCharType="end"/>
        </w:r>
      </w:hyperlink>
    </w:p>
    <w:p w14:paraId="5D7D37F2" w14:textId="227284F8" w:rsidR="003960FC" w:rsidRDefault="00DF4828">
      <w:pPr>
        <w:pStyle w:val="TOC4"/>
        <w:tabs>
          <w:tab w:val="right" w:leader="dot" w:pos="5030"/>
        </w:tabs>
        <w:rPr>
          <w:rFonts w:eastAsiaTheme="minorEastAsia"/>
          <w:smallCaps w:val="0"/>
          <w:noProof/>
          <w:sz w:val="22"/>
          <w:lang w:val="en-US" w:eastAsia="en-US" w:bidi="ar-SA"/>
        </w:rPr>
      </w:pPr>
      <w:hyperlink w:anchor="_Toc54937019" w:history="1">
        <w:r w:rsidR="003960FC" w:rsidRPr="00A66580">
          <w:rPr>
            <w:rStyle w:val="Hyperlink"/>
            <w:noProof/>
          </w:rPr>
          <w:t>Usługa Dynamics 365 Customer Insights</w:t>
        </w:r>
        <w:r w:rsidR="003960FC">
          <w:rPr>
            <w:noProof/>
            <w:webHidden/>
          </w:rPr>
          <w:tab/>
        </w:r>
        <w:r w:rsidR="003960FC">
          <w:rPr>
            <w:noProof/>
            <w:webHidden/>
          </w:rPr>
          <w:fldChar w:fldCharType="begin"/>
        </w:r>
        <w:r w:rsidR="003960FC">
          <w:rPr>
            <w:noProof/>
            <w:webHidden/>
          </w:rPr>
          <w:instrText xml:space="preserve"> PAGEREF _Toc54937019 \h </w:instrText>
        </w:r>
        <w:r w:rsidR="003960FC">
          <w:rPr>
            <w:noProof/>
            <w:webHidden/>
          </w:rPr>
        </w:r>
        <w:r w:rsidR="003960FC">
          <w:rPr>
            <w:noProof/>
            <w:webHidden/>
          </w:rPr>
          <w:fldChar w:fldCharType="separate"/>
        </w:r>
        <w:r w:rsidR="003960FC">
          <w:rPr>
            <w:noProof/>
            <w:webHidden/>
          </w:rPr>
          <w:t>7</w:t>
        </w:r>
        <w:r w:rsidR="003960FC">
          <w:rPr>
            <w:noProof/>
            <w:webHidden/>
          </w:rPr>
          <w:fldChar w:fldCharType="end"/>
        </w:r>
      </w:hyperlink>
    </w:p>
    <w:p w14:paraId="27D834B4" w14:textId="7E6F5E7E" w:rsidR="003960FC" w:rsidRDefault="00DF4828">
      <w:pPr>
        <w:pStyle w:val="TOC4"/>
        <w:tabs>
          <w:tab w:val="right" w:leader="dot" w:pos="5030"/>
        </w:tabs>
        <w:rPr>
          <w:rFonts w:eastAsiaTheme="minorEastAsia"/>
          <w:smallCaps w:val="0"/>
          <w:noProof/>
          <w:sz w:val="22"/>
          <w:lang w:val="en-US" w:eastAsia="en-US" w:bidi="ar-SA"/>
        </w:rPr>
      </w:pPr>
      <w:hyperlink w:anchor="_Toc54937020" w:history="1">
        <w:r w:rsidR="003960FC" w:rsidRPr="00A66580">
          <w:rPr>
            <w:rStyle w:val="Hyperlink"/>
            <w:noProof/>
            <w:lang w:val="en-US"/>
          </w:rPr>
          <w:t>Dynamics 365 Customer Service Enterprise; Dynamics 365 Customer Service Professional; Dynamics 365 Customer Service Insights; Dynamics 365 Field Service; Dynamics 365 Marketing</w:t>
        </w:r>
        <w:r w:rsidR="003960FC">
          <w:rPr>
            <w:noProof/>
            <w:webHidden/>
          </w:rPr>
          <w:tab/>
        </w:r>
        <w:r w:rsidR="003960FC">
          <w:rPr>
            <w:noProof/>
            <w:webHidden/>
          </w:rPr>
          <w:fldChar w:fldCharType="begin"/>
        </w:r>
        <w:r w:rsidR="003960FC">
          <w:rPr>
            <w:noProof/>
            <w:webHidden/>
          </w:rPr>
          <w:instrText xml:space="preserve"> PAGEREF _Toc54937020 \h </w:instrText>
        </w:r>
        <w:r w:rsidR="003960FC">
          <w:rPr>
            <w:noProof/>
            <w:webHidden/>
          </w:rPr>
        </w:r>
        <w:r w:rsidR="003960FC">
          <w:rPr>
            <w:noProof/>
            <w:webHidden/>
          </w:rPr>
          <w:fldChar w:fldCharType="separate"/>
        </w:r>
        <w:r w:rsidR="003960FC">
          <w:rPr>
            <w:noProof/>
            <w:webHidden/>
          </w:rPr>
          <w:t>7</w:t>
        </w:r>
        <w:r w:rsidR="003960FC">
          <w:rPr>
            <w:noProof/>
            <w:webHidden/>
          </w:rPr>
          <w:fldChar w:fldCharType="end"/>
        </w:r>
      </w:hyperlink>
    </w:p>
    <w:p w14:paraId="2C6AA58C" w14:textId="04481A36" w:rsidR="003960FC" w:rsidRDefault="00DF4828">
      <w:pPr>
        <w:pStyle w:val="TOC4"/>
        <w:tabs>
          <w:tab w:val="right" w:leader="dot" w:pos="5030"/>
        </w:tabs>
        <w:rPr>
          <w:rFonts w:eastAsiaTheme="minorEastAsia"/>
          <w:smallCaps w:val="0"/>
          <w:noProof/>
          <w:sz w:val="22"/>
          <w:lang w:val="en-US" w:eastAsia="en-US" w:bidi="ar-SA"/>
        </w:rPr>
      </w:pPr>
      <w:hyperlink w:anchor="_Toc54937021" w:history="1">
        <w:r w:rsidR="003960FC" w:rsidRPr="00A66580">
          <w:rPr>
            <w:rStyle w:val="Hyperlink"/>
            <w:noProof/>
          </w:rPr>
          <w:t>Dynamics 365 Fraud Protection</w:t>
        </w:r>
        <w:r w:rsidR="003960FC">
          <w:rPr>
            <w:noProof/>
            <w:webHidden/>
          </w:rPr>
          <w:tab/>
        </w:r>
        <w:r w:rsidR="003960FC">
          <w:rPr>
            <w:noProof/>
            <w:webHidden/>
          </w:rPr>
          <w:fldChar w:fldCharType="begin"/>
        </w:r>
        <w:r w:rsidR="003960FC">
          <w:rPr>
            <w:noProof/>
            <w:webHidden/>
          </w:rPr>
          <w:instrText xml:space="preserve"> PAGEREF _Toc54937021 \h </w:instrText>
        </w:r>
        <w:r w:rsidR="003960FC">
          <w:rPr>
            <w:noProof/>
            <w:webHidden/>
          </w:rPr>
        </w:r>
        <w:r w:rsidR="003960FC">
          <w:rPr>
            <w:noProof/>
            <w:webHidden/>
          </w:rPr>
          <w:fldChar w:fldCharType="separate"/>
        </w:r>
        <w:r w:rsidR="003960FC">
          <w:rPr>
            <w:noProof/>
            <w:webHidden/>
          </w:rPr>
          <w:t>7</w:t>
        </w:r>
        <w:r w:rsidR="003960FC">
          <w:rPr>
            <w:noProof/>
            <w:webHidden/>
          </w:rPr>
          <w:fldChar w:fldCharType="end"/>
        </w:r>
      </w:hyperlink>
    </w:p>
    <w:p w14:paraId="125DC2A1" w14:textId="0FC38A45" w:rsidR="003960FC" w:rsidRDefault="00DF4828">
      <w:pPr>
        <w:pStyle w:val="TOC4"/>
        <w:tabs>
          <w:tab w:val="right" w:leader="dot" w:pos="5030"/>
        </w:tabs>
        <w:rPr>
          <w:rFonts w:eastAsiaTheme="minorEastAsia"/>
          <w:smallCaps w:val="0"/>
          <w:noProof/>
          <w:sz w:val="22"/>
          <w:lang w:val="en-US" w:eastAsia="en-US" w:bidi="ar-SA"/>
        </w:rPr>
      </w:pPr>
      <w:hyperlink w:anchor="_Toc54937022" w:history="1">
        <w:r w:rsidR="003960FC" w:rsidRPr="00A66580">
          <w:rPr>
            <w:rStyle w:val="Hyperlink"/>
            <w:noProof/>
            <w:lang w:val="en-US"/>
          </w:rPr>
          <w:t xml:space="preserve">Dynamics 365 </w:t>
        </w:r>
        <w:r w:rsidR="003960FC" w:rsidRPr="00A66580">
          <w:rPr>
            <w:rStyle w:val="Hyperlink"/>
            <w:noProof/>
          </w:rPr>
          <w:t>Human Resources</w:t>
        </w:r>
        <w:r w:rsidR="003960FC">
          <w:rPr>
            <w:noProof/>
            <w:webHidden/>
          </w:rPr>
          <w:tab/>
        </w:r>
        <w:r w:rsidR="003960FC">
          <w:rPr>
            <w:noProof/>
            <w:webHidden/>
          </w:rPr>
          <w:fldChar w:fldCharType="begin"/>
        </w:r>
        <w:r w:rsidR="003960FC">
          <w:rPr>
            <w:noProof/>
            <w:webHidden/>
          </w:rPr>
          <w:instrText xml:space="preserve"> PAGEREF _Toc54937022 \h </w:instrText>
        </w:r>
        <w:r w:rsidR="003960FC">
          <w:rPr>
            <w:noProof/>
            <w:webHidden/>
          </w:rPr>
        </w:r>
        <w:r w:rsidR="003960FC">
          <w:rPr>
            <w:noProof/>
            <w:webHidden/>
          </w:rPr>
          <w:fldChar w:fldCharType="separate"/>
        </w:r>
        <w:r w:rsidR="003960FC">
          <w:rPr>
            <w:noProof/>
            <w:webHidden/>
          </w:rPr>
          <w:t>8</w:t>
        </w:r>
        <w:r w:rsidR="003960FC">
          <w:rPr>
            <w:noProof/>
            <w:webHidden/>
          </w:rPr>
          <w:fldChar w:fldCharType="end"/>
        </w:r>
      </w:hyperlink>
    </w:p>
    <w:p w14:paraId="32005B01" w14:textId="3E43FEA2" w:rsidR="003960FC" w:rsidRDefault="00DF4828">
      <w:pPr>
        <w:pStyle w:val="TOC4"/>
        <w:tabs>
          <w:tab w:val="right" w:leader="dot" w:pos="5030"/>
        </w:tabs>
        <w:rPr>
          <w:rFonts w:eastAsiaTheme="minorEastAsia"/>
          <w:smallCaps w:val="0"/>
          <w:noProof/>
          <w:sz w:val="22"/>
          <w:lang w:val="en-US" w:eastAsia="en-US" w:bidi="ar-SA"/>
        </w:rPr>
      </w:pPr>
      <w:hyperlink w:anchor="_Toc54937023" w:history="1">
        <w:r w:rsidR="003960FC" w:rsidRPr="00A66580">
          <w:rPr>
            <w:rStyle w:val="Hyperlink"/>
            <w:noProof/>
          </w:rPr>
          <w:t>Dynamics 365 Remote Assist</w:t>
        </w:r>
        <w:r w:rsidR="003960FC">
          <w:rPr>
            <w:noProof/>
            <w:webHidden/>
          </w:rPr>
          <w:tab/>
        </w:r>
        <w:r w:rsidR="003960FC">
          <w:rPr>
            <w:noProof/>
            <w:webHidden/>
          </w:rPr>
          <w:fldChar w:fldCharType="begin"/>
        </w:r>
        <w:r w:rsidR="003960FC">
          <w:rPr>
            <w:noProof/>
            <w:webHidden/>
          </w:rPr>
          <w:instrText xml:space="preserve"> PAGEREF _Toc54937023 \h </w:instrText>
        </w:r>
        <w:r w:rsidR="003960FC">
          <w:rPr>
            <w:noProof/>
            <w:webHidden/>
          </w:rPr>
        </w:r>
        <w:r w:rsidR="003960FC">
          <w:rPr>
            <w:noProof/>
            <w:webHidden/>
          </w:rPr>
          <w:fldChar w:fldCharType="separate"/>
        </w:r>
        <w:r w:rsidR="003960FC">
          <w:rPr>
            <w:noProof/>
            <w:webHidden/>
          </w:rPr>
          <w:t>8</w:t>
        </w:r>
        <w:r w:rsidR="003960FC">
          <w:rPr>
            <w:noProof/>
            <w:webHidden/>
          </w:rPr>
          <w:fldChar w:fldCharType="end"/>
        </w:r>
      </w:hyperlink>
    </w:p>
    <w:p w14:paraId="52AFF7E6" w14:textId="2C7B4BC1" w:rsidR="003960FC" w:rsidRDefault="00DF4828">
      <w:pPr>
        <w:pStyle w:val="TOC4"/>
        <w:tabs>
          <w:tab w:val="right" w:leader="dot" w:pos="5030"/>
        </w:tabs>
        <w:rPr>
          <w:rFonts w:eastAsiaTheme="minorEastAsia"/>
          <w:smallCaps w:val="0"/>
          <w:noProof/>
          <w:sz w:val="22"/>
          <w:lang w:val="en-US" w:eastAsia="en-US" w:bidi="ar-SA"/>
        </w:rPr>
      </w:pPr>
      <w:hyperlink w:anchor="_Toc54937024" w:history="1">
        <w:r w:rsidR="003960FC" w:rsidRPr="00A66580">
          <w:rPr>
            <w:rStyle w:val="Hyperlink"/>
            <w:noProof/>
            <w:lang w:val="en-US"/>
          </w:rPr>
          <w:t>Dynamics 365 Sales Enterprise; Dynamics 365 Sales Professional</w:t>
        </w:r>
        <w:r w:rsidR="003960FC">
          <w:rPr>
            <w:noProof/>
            <w:webHidden/>
          </w:rPr>
          <w:tab/>
        </w:r>
        <w:r w:rsidR="003960FC">
          <w:rPr>
            <w:noProof/>
            <w:webHidden/>
          </w:rPr>
          <w:fldChar w:fldCharType="begin"/>
        </w:r>
        <w:r w:rsidR="003960FC">
          <w:rPr>
            <w:noProof/>
            <w:webHidden/>
          </w:rPr>
          <w:instrText xml:space="preserve"> PAGEREF _Toc54937024 \h </w:instrText>
        </w:r>
        <w:r w:rsidR="003960FC">
          <w:rPr>
            <w:noProof/>
            <w:webHidden/>
          </w:rPr>
        </w:r>
        <w:r w:rsidR="003960FC">
          <w:rPr>
            <w:noProof/>
            <w:webHidden/>
          </w:rPr>
          <w:fldChar w:fldCharType="separate"/>
        </w:r>
        <w:r w:rsidR="003960FC">
          <w:rPr>
            <w:noProof/>
            <w:webHidden/>
          </w:rPr>
          <w:t>9</w:t>
        </w:r>
        <w:r w:rsidR="003960FC">
          <w:rPr>
            <w:noProof/>
            <w:webHidden/>
          </w:rPr>
          <w:fldChar w:fldCharType="end"/>
        </w:r>
      </w:hyperlink>
    </w:p>
    <w:p w14:paraId="43C617C8" w14:textId="3312A155" w:rsidR="003960FC" w:rsidRDefault="00DF4828">
      <w:pPr>
        <w:pStyle w:val="TOC4"/>
        <w:tabs>
          <w:tab w:val="right" w:leader="dot" w:pos="5030"/>
        </w:tabs>
        <w:rPr>
          <w:rFonts w:eastAsiaTheme="minorEastAsia"/>
          <w:smallCaps w:val="0"/>
          <w:noProof/>
          <w:sz w:val="22"/>
          <w:lang w:val="en-US" w:eastAsia="en-US" w:bidi="ar-SA"/>
        </w:rPr>
      </w:pPr>
      <w:hyperlink w:anchor="_Toc54937025" w:history="1">
        <w:r w:rsidR="003960FC" w:rsidRPr="00A66580">
          <w:rPr>
            <w:rStyle w:val="Hyperlink"/>
            <w:noProof/>
            <w:lang w:val="en-US"/>
          </w:rPr>
          <w:t xml:space="preserve">Dynamics 365 </w:t>
        </w:r>
        <w:r w:rsidR="003960FC" w:rsidRPr="00A66580">
          <w:rPr>
            <w:rStyle w:val="Hyperlink"/>
            <w:noProof/>
          </w:rPr>
          <w:t>Supply Chain Management; Dynamics 365 Finance</w:t>
        </w:r>
        <w:r w:rsidR="003960FC" w:rsidRPr="00A66580">
          <w:rPr>
            <w:rStyle w:val="Hyperlink"/>
            <w:noProof/>
            <w:lang w:val="en-US"/>
          </w:rPr>
          <w:t>; Dynamics 365 Project Operations</w:t>
        </w:r>
        <w:r w:rsidR="003960FC">
          <w:rPr>
            <w:noProof/>
            <w:webHidden/>
          </w:rPr>
          <w:tab/>
        </w:r>
        <w:r w:rsidR="003960FC">
          <w:rPr>
            <w:noProof/>
            <w:webHidden/>
          </w:rPr>
          <w:fldChar w:fldCharType="begin"/>
        </w:r>
        <w:r w:rsidR="003960FC">
          <w:rPr>
            <w:noProof/>
            <w:webHidden/>
          </w:rPr>
          <w:instrText xml:space="preserve"> PAGEREF _Toc54937025 \h </w:instrText>
        </w:r>
        <w:r w:rsidR="003960FC">
          <w:rPr>
            <w:noProof/>
            <w:webHidden/>
          </w:rPr>
        </w:r>
        <w:r w:rsidR="003960FC">
          <w:rPr>
            <w:noProof/>
            <w:webHidden/>
          </w:rPr>
          <w:fldChar w:fldCharType="separate"/>
        </w:r>
        <w:r w:rsidR="003960FC">
          <w:rPr>
            <w:noProof/>
            <w:webHidden/>
          </w:rPr>
          <w:t>9</w:t>
        </w:r>
        <w:r w:rsidR="003960FC">
          <w:rPr>
            <w:noProof/>
            <w:webHidden/>
          </w:rPr>
          <w:fldChar w:fldCharType="end"/>
        </w:r>
      </w:hyperlink>
    </w:p>
    <w:p w14:paraId="218B3CB5" w14:textId="6F789477" w:rsidR="003960FC" w:rsidRDefault="00DF4828">
      <w:pPr>
        <w:pStyle w:val="TOC2"/>
        <w:tabs>
          <w:tab w:val="right" w:leader="dot" w:pos="5030"/>
        </w:tabs>
        <w:rPr>
          <w:rFonts w:eastAsiaTheme="minorEastAsia"/>
          <w:b w:val="0"/>
          <w:smallCaps w:val="0"/>
          <w:noProof/>
          <w:sz w:val="22"/>
          <w:lang w:val="en-US" w:eastAsia="en-US" w:bidi="ar-SA"/>
        </w:rPr>
      </w:pPr>
      <w:hyperlink w:anchor="_Toc54937026" w:history="1">
        <w:r w:rsidR="003960FC" w:rsidRPr="00A66580">
          <w:rPr>
            <w:rStyle w:val="Hyperlink"/>
            <w:noProof/>
          </w:rPr>
          <w:t>Usługi Office 365</w:t>
        </w:r>
        <w:r w:rsidR="003960FC">
          <w:rPr>
            <w:noProof/>
            <w:webHidden/>
          </w:rPr>
          <w:tab/>
        </w:r>
        <w:r w:rsidR="003960FC">
          <w:rPr>
            <w:noProof/>
            <w:webHidden/>
          </w:rPr>
          <w:fldChar w:fldCharType="begin"/>
        </w:r>
        <w:r w:rsidR="003960FC">
          <w:rPr>
            <w:noProof/>
            <w:webHidden/>
          </w:rPr>
          <w:instrText xml:space="preserve"> PAGEREF _Toc54937026 \h </w:instrText>
        </w:r>
        <w:r w:rsidR="003960FC">
          <w:rPr>
            <w:noProof/>
            <w:webHidden/>
          </w:rPr>
        </w:r>
        <w:r w:rsidR="003960FC">
          <w:rPr>
            <w:noProof/>
            <w:webHidden/>
          </w:rPr>
          <w:fldChar w:fldCharType="separate"/>
        </w:r>
        <w:r w:rsidR="003960FC">
          <w:rPr>
            <w:noProof/>
            <w:webHidden/>
          </w:rPr>
          <w:t>10</w:t>
        </w:r>
        <w:r w:rsidR="003960FC">
          <w:rPr>
            <w:noProof/>
            <w:webHidden/>
          </w:rPr>
          <w:fldChar w:fldCharType="end"/>
        </w:r>
      </w:hyperlink>
    </w:p>
    <w:p w14:paraId="75A4B88D" w14:textId="66FB9C46" w:rsidR="003960FC" w:rsidRDefault="00DF4828">
      <w:pPr>
        <w:pStyle w:val="TOC4"/>
        <w:tabs>
          <w:tab w:val="right" w:leader="dot" w:pos="5030"/>
        </w:tabs>
        <w:rPr>
          <w:rFonts w:eastAsiaTheme="minorEastAsia"/>
          <w:smallCaps w:val="0"/>
          <w:noProof/>
          <w:sz w:val="22"/>
          <w:lang w:val="en-US" w:eastAsia="en-US" w:bidi="ar-SA"/>
        </w:rPr>
      </w:pPr>
      <w:hyperlink w:anchor="_Toc54937027" w:history="1">
        <w:r w:rsidR="003960FC" w:rsidRPr="00A66580">
          <w:rPr>
            <w:rStyle w:val="Hyperlink"/>
            <w:noProof/>
          </w:rPr>
          <w:t>Duet Enterprise Online</w:t>
        </w:r>
        <w:r w:rsidR="003960FC">
          <w:rPr>
            <w:noProof/>
            <w:webHidden/>
          </w:rPr>
          <w:tab/>
        </w:r>
        <w:r w:rsidR="003960FC">
          <w:rPr>
            <w:noProof/>
            <w:webHidden/>
          </w:rPr>
          <w:fldChar w:fldCharType="begin"/>
        </w:r>
        <w:r w:rsidR="003960FC">
          <w:rPr>
            <w:noProof/>
            <w:webHidden/>
          </w:rPr>
          <w:instrText xml:space="preserve"> PAGEREF _Toc54937027 \h </w:instrText>
        </w:r>
        <w:r w:rsidR="003960FC">
          <w:rPr>
            <w:noProof/>
            <w:webHidden/>
          </w:rPr>
        </w:r>
        <w:r w:rsidR="003960FC">
          <w:rPr>
            <w:noProof/>
            <w:webHidden/>
          </w:rPr>
          <w:fldChar w:fldCharType="separate"/>
        </w:r>
        <w:r w:rsidR="003960FC">
          <w:rPr>
            <w:noProof/>
            <w:webHidden/>
          </w:rPr>
          <w:t>10</w:t>
        </w:r>
        <w:r w:rsidR="003960FC">
          <w:rPr>
            <w:noProof/>
            <w:webHidden/>
          </w:rPr>
          <w:fldChar w:fldCharType="end"/>
        </w:r>
      </w:hyperlink>
    </w:p>
    <w:p w14:paraId="4B490065" w14:textId="12DC70C7" w:rsidR="003960FC" w:rsidRDefault="00DF4828">
      <w:pPr>
        <w:pStyle w:val="TOC4"/>
        <w:tabs>
          <w:tab w:val="right" w:leader="dot" w:pos="5030"/>
        </w:tabs>
        <w:rPr>
          <w:rFonts w:eastAsiaTheme="minorEastAsia"/>
          <w:smallCaps w:val="0"/>
          <w:noProof/>
          <w:sz w:val="22"/>
          <w:lang w:val="en-US" w:eastAsia="en-US" w:bidi="ar-SA"/>
        </w:rPr>
      </w:pPr>
      <w:hyperlink w:anchor="_Toc54937028" w:history="1">
        <w:r w:rsidR="003960FC" w:rsidRPr="00A66580">
          <w:rPr>
            <w:rStyle w:val="Hyperlink"/>
            <w:noProof/>
          </w:rPr>
          <w:t>Exchange Online</w:t>
        </w:r>
        <w:r w:rsidR="003960FC">
          <w:rPr>
            <w:noProof/>
            <w:webHidden/>
          </w:rPr>
          <w:tab/>
        </w:r>
        <w:r w:rsidR="003960FC">
          <w:rPr>
            <w:noProof/>
            <w:webHidden/>
          </w:rPr>
          <w:fldChar w:fldCharType="begin"/>
        </w:r>
        <w:r w:rsidR="003960FC">
          <w:rPr>
            <w:noProof/>
            <w:webHidden/>
          </w:rPr>
          <w:instrText xml:space="preserve"> PAGEREF _Toc54937028 \h </w:instrText>
        </w:r>
        <w:r w:rsidR="003960FC">
          <w:rPr>
            <w:noProof/>
            <w:webHidden/>
          </w:rPr>
        </w:r>
        <w:r w:rsidR="003960FC">
          <w:rPr>
            <w:noProof/>
            <w:webHidden/>
          </w:rPr>
          <w:fldChar w:fldCharType="separate"/>
        </w:r>
        <w:r w:rsidR="003960FC">
          <w:rPr>
            <w:noProof/>
            <w:webHidden/>
          </w:rPr>
          <w:t>10</w:t>
        </w:r>
        <w:r w:rsidR="003960FC">
          <w:rPr>
            <w:noProof/>
            <w:webHidden/>
          </w:rPr>
          <w:fldChar w:fldCharType="end"/>
        </w:r>
      </w:hyperlink>
    </w:p>
    <w:p w14:paraId="4AA0F03E" w14:textId="0303F1AC" w:rsidR="003960FC" w:rsidRDefault="00DF4828">
      <w:pPr>
        <w:pStyle w:val="TOC4"/>
        <w:tabs>
          <w:tab w:val="right" w:leader="dot" w:pos="5030"/>
        </w:tabs>
        <w:rPr>
          <w:rFonts w:eastAsiaTheme="minorEastAsia"/>
          <w:smallCaps w:val="0"/>
          <w:noProof/>
          <w:sz w:val="22"/>
          <w:lang w:val="en-US" w:eastAsia="en-US" w:bidi="ar-SA"/>
        </w:rPr>
      </w:pPr>
      <w:hyperlink w:anchor="_Toc54937029" w:history="1">
        <w:r w:rsidR="003960FC" w:rsidRPr="00A66580">
          <w:rPr>
            <w:rStyle w:val="Hyperlink"/>
            <w:noProof/>
          </w:rPr>
          <w:t>Exchange Online Archiving</w:t>
        </w:r>
        <w:r w:rsidR="003960FC">
          <w:rPr>
            <w:noProof/>
            <w:webHidden/>
          </w:rPr>
          <w:tab/>
        </w:r>
        <w:r w:rsidR="003960FC">
          <w:rPr>
            <w:noProof/>
            <w:webHidden/>
          </w:rPr>
          <w:fldChar w:fldCharType="begin"/>
        </w:r>
        <w:r w:rsidR="003960FC">
          <w:rPr>
            <w:noProof/>
            <w:webHidden/>
          </w:rPr>
          <w:instrText xml:space="preserve"> PAGEREF _Toc54937029 \h </w:instrText>
        </w:r>
        <w:r w:rsidR="003960FC">
          <w:rPr>
            <w:noProof/>
            <w:webHidden/>
          </w:rPr>
        </w:r>
        <w:r w:rsidR="003960FC">
          <w:rPr>
            <w:noProof/>
            <w:webHidden/>
          </w:rPr>
          <w:fldChar w:fldCharType="separate"/>
        </w:r>
        <w:r w:rsidR="003960FC">
          <w:rPr>
            <w:noProof/>
            <w:webHidden/>
          </w:rPr>
          <w:t>11</w:t>
        </w:r>
        <w:r w:rsidR="003960FC">
          <w:rPr>
            <w:noProof/>
            <w:webHidden/>
          </w:rPr>
          <w:fldChar w:fldCharType="end"/>
        </w:r>
      </w:hyperlink>
    </w:p>
    <w:p w14:paraId="1B2D544A" w14:textId="48D54E45" w:rsidR="003960FC" w:rsidRDefault="00DF4828">
      <w:pPr>
        <w:pStyle w:val="TOC4"/>
        <w:tabs>
          <w:tab w:val="right" w:leader="dot" w:pos="5030"/>
        </w:tabs>
        <w:rPr>
          <w:rFonts w:eastAsiaTheme="minorEastAsia"/>
          <w:smallCaps w:val="0"/>
          <w:noProof/>
          <w:sz w:val="22"/>
          <w:lang w:val="en-US" w:eastAsia="en-US" w:bidi="ar-SA"/>
        </w:rPr>
      </w:pPr>
      <w:hyperlink w:anchor="_Toc54937030" w:history="1">
        <w:r w:rsidR="003960FC" w:rsidRPr="00A66580">
          <w:rPr>
            <w:rStyle w:val="Hyperlink"/>
            <w:noProof/>
          </w:rPr>
          <w:t>Exchange Online Protection</w:t>
        </w:r>
        <w:r w:rsidR="003960FC">
          <w:rPr>
            <w:noProof/>
            <w:webHidden/>
          </w:rPr>
          <w:tab/>
        </w:r>
        <w:r w:rsidR="003960FC">
          <w:rPr>
            <w:noProof/>
            <w:webHidden/>
          </w:rPr>
          <w:fldChar w:fldCharType="begin"/>
        </w:r>
        <w:r w:rsidR="003960FC">
          <w:rPr>
            <w:noProof/>
            <w:webHidden/>
          </w:rPr>
          <w:instrText xml:space="preserve"> PAGEREF _Toc54937030 \h </w:instrText>
        </w:r>
        <w:r w:rsidR="003960FC">
          <w:rPr>
            <w:noProof/>
            <w:webHidden/>
          </w:rPr>
        </w:r>
        <w:r w:rsidR="003960FC">
          <w:rPr>
            <w:noProof/>
            <w:webHidden/>
          </w:rPr>
          <w:fldChar w:fldCharType="separate"/>
        </w:r>
        <w:r w:rsidR="003960FC">
          <w:rPr>
            <w:noProof/>
            <w:webHidden/>
          </w:rPr>
          <w:t>11</w:t>
        </w:r>
        <w:r w:rsidR="003960FC">
          <w:rPr>
            <w:noProof/>
            <w:webHidden/>
          </w:rPr>
          <w:fldChar w:fldCharType="end"/>
        </w:r>
      </w:hyperlink>
    </w:p>
    <w:p w14:paraId="35076596" w14:textId="54FCC1E1" w:rsidR="003960FC" w:rsidRDefault="00DF4828">
      <w:pPr>
        <w:pStyle w:val="TOC4"/>
        <w:tabs>
          <w:tab w:val="right" w:leader="dot" w:pos="5030"/>
        </w:tabs>
        <w:rPr>
          <w:rFonts w:eastAsiaTheme="minorEastAsia"/>
          <w:smallCaps w:val="0"/>
          <w:noProof/>
          <w:sz w:val="22"/>
          <w:lang w:val="en-US" w:eastAsia="en-US" w:bidi="ar-SA"/>
        </w:rPr>
      </w:pPr>
      <w:hyperlink w:anchor="_Toc54937031" w:history="1">
        <w:r w:rsidR="003960FC" w:rsidRPr="00A66580">
          <w:rPr>
            <w:rStyle w:val="Hyperlink"/>
            <w:noProof/>
          </w:rPr>
          <w:t>Microsoft MyAnalytics</w:t>
        </w:r>
        <w:r w:rsidR="003960FC">
          <w:rPr>
            <w:noProof/>
            <w:webHidden/>
          </w:rPr>
          <w:tab/>
        </w:r>
        <w:r w:rsidR="003960FC">
          <w:rPr>
            <w:noProof/>
            <w:webHidden/>
          </w:rPr>
          <w:fldChar w:fldCharType="begin"/>
        </w:r>
        <w:r w:rsidR="003960FC">
          <w:rPr>
            <w:noProof/>
            <w:webHidden/>
          </w:rPr>
          <w:instrText xml:space="preserve"> PAGEREF _Toc54937031 \h </w:instrText>
        </w:r>
        <w:r w:rsidR="003960FC">
          <w:rPr>
            <w:noProof/>
            <w:webHidden/>
          </w:rPr>
        </w:r>
        <w:r w:rsidR="003960FC">
          <w:rPr>
            <w:noProof/>
            <w:webHidden/>
          </w:rPr>
          <w:fldChar w:fldCharType="separate"/>
        </w:r>
        <w:r w:rsidR="003960FC">
          <w:rPr>
            <w:noProof/>
            <w:webHidden/>
          </w:rPr>
          <w:t>12</w:t>
        </w:r>
        <w:r w:rsidR="003960FC">
          <w:rPr>
            <w:noProof/>
            <w:webHidden/>
          </w:rPr>
          <w:fldChar w:fldCharType="end"/>
        </w:r>
      </w:hyperlink>
    </w:p>
    <w:p w14:paraId="77D10900" w14:textId="4582FC12" w:rsidR="003960FC" w:rsidRDefault="00DF4828">
      <w:pPr>
        <w:pStyle w:val="TOC4"/>
        <w:tabs>
          <w:tab w:val="right" w:leader="dot" w:pos="5030"/>
        </w:tabs>
        <w:rPr>
          <w:rFonts w:eastAsiaTheme="minorEastAsia"/>
          <w:smallCaps w:val="0"/>
          <w:noProof/>
          <w:sz w:val="22"/>
          <w:lang w:val="en-US" w:eastAsia="en-US" w:bidi="ar-SA"/>
        </w:rPr>
      </w:pPr>
      <w:hyperlink w:anchor="_Toc54937032" w:history="1">
        <w:r w:rsidR="003960FC" w:rsidRPr="00A66580">
          <w:rPr>
            <w:rStyle w:val="Hyperlink"/>
            <w:noProof/>
          </w:rPr>
          <w:t>Microsoft Stream</w:t>
        </w:r>
        <w:r w:rsidR="003960FC">
          <w:rPr>
            <w:noProof/>
            <w:webHidden/>
          </w:rPr>
          <w:tab/>
        </w:r>
        <w:r w:rsidR="003960FC">
          <w:rPr>
            <w:noProof/>
            <w:webHidden/>
          </w:rPr>
          <w:fldChar w:fldCharType="begin"/>
        </w:r>
        <w:r w:rsidR="003960FC">
          <w:rPr>
            <w:noProof/>
            <w:webHidden/>
          </w:rPr>
          <w:instrText xml:space="preserve"> PAGEREF _Toc54937032 \h </w:instrText>
        </w:r>
        <w:r w:rsidR="003960FC">
          <w:rPr>
            <w:noProof/>
            <w:webHidden/>
          </w:rPr>
        </w:r>
        <w:r w:rsidR="003960FC">
          <w:rPr>
            <w:noProof/>
            <w:webHidden/>
          </w:rPr>
          <w:fldChar w:fldCharType="separate"/>
        </w:r>
        <w:r w:rsidR="003960FC">
          <w:rPr>
            <w:noProof/>
            <w:webHidden/>
          </w:rPr>
          <w:t>12</w:t>
        </w:r>
        <w:r w:rsidR="003960FC">
          <w:rPr>
            <w:noProof/>
            <w:webHidden/>
          </w:rPr>
          <w:fldChar w:fldCharType="end"/>
        </w:r>
      </w:hyperlink>
    </w:p>
    <w:p w14:paraId="29533937" w14:textId="20B69B1C" w:rsidR="003960FC" w:rsidRDefault="00DF4828">
      <w:pPr>
        <w:pStyle w:val="TOC4"/>
        <w:tabs>
          <w:tab w:val="right" w:leader="dot" w:pos="5030"/>
        </w:tabs>
        <w:rPr>
          <w:rFonts w:eastAsiaTheme="minorEastAsia"/>
          <w:smallCaps w:val="0"/>
          <w:noProof/>
          <w:sz w:val="22"/>
          <w:lang w:val="en-US" w:eastAsia="en-US" w:bidi="ar-SA"/>
        </w:rPr>
      </w:pPr>
      <w:hyperlink w:anchor="_Toc54937033" w:history="1">
        <w:r w:rsidR="003960FC" w:rsidRPr="00A66580">
          <w:rPr>
            <w:rStyle w:val="Hyperlink"/>
            <w:noProof/>
          </w:rPr>
          <w:t>Microsoft Teams</w:t>
        </w:r>
        <w:r w:rsidR="003960FC">
          <w:rPr>
            <w:noProof/>
            <w:webHidden/>
          </w:rPr>
          <w:tab/>
        </w:r>
        <w:r w:rsidR="003960FC">
          <w:rPr>
            <w:noProof/>
            <w:webHidden/>
          </w:rPr>
          <w:fldChar w:fldCharType="begin"/>
        </w:r>
        <w:r w:rsidR="003960FC">
          <w:rPr>
            <w:noProof/>
            <w:webHidden/>
          </w:rPr>
          <w:instrText xml:space="preserve"> PAGEREF _Toc54937033 \h </w:instrText>
        </w:r>
        <w:r w:rsidR="003960FC">
          <w:rPr>
            <w:noProof/>
            <w:webHidden/>
          </w:rPr>
        </w:r>
        <w:r w:rsidR="003960FC">
          <w:rPr>
            <w:noProof/>
            <w:webHidden/>
          </w:rPr>
          <w:fldChar w:fldCharType="separate"/>
        </w:r>
        <w:r w:rsidR="003960FC">
          <w:rPr>
            <w:noProof/>
            <w:webHidden/>
          </w:rPr>
          <w:t>12</w:t>
        </w:r>
        <w:r w:rsidR="003960FC">
          <w:rPr>
            <w:noProof/>
            <w:webHidden/>
          </w:rPr>
          <w:fldChar w:fldCharType="end"/>
        </w:r>
      </w:hyperlink>
    </w:p>
    <w:p w14:paraId="78C6C254" w14:textId="0A9CFBCC" w:rsidR="003960FC" w:rsidRDefault="00DF4828">
      <w:pPr>
        <w:pStyle w:val="TOC4"/>
        <w:tabs>
          <w:tab w:val="right" w:leader="dot" w:pos="5030"/>
        </w:tabs>
        <w:rPr>
          <w:rFonts w:eastAsiaTheme="minorEastAsia"/>
          <w:smallCaps w:val="0"/>
          <w:noProof/>
          <w:sz w:val="22"/>
          <w:lang w:val="en-US" w:eastAsia="en-US" w:bidi="ar-SA"/>
        </w:rPr>
      </w:pPr>
      <w:hyperlink w:anchor="_Toc54937034" w:history="1">
        <w:r w:rsidR="003960FC" w:rsidRPr="00A66580">
          <w:rPr>
            <w:rStyle w:val="Hyperlink"/>
            <w:noProof/>
          </w:rPr>
          <w:t>Microsoft 365 Apps for business</w:t>
        </w:r>
        <w:r w:rsidR="003960FC">
          <w:rPr>
            <w:noProof/>
            <w:webHidden/>
          </w:rPr>
          <w:tab/>
        </w:r>
        <w:r w:rsidR="003960FC">
          <w:rPr>
            <w:noProof/>
            <w:webHidden/>
          </w:rPr>
          <w:fldChar w:fldCharType="begin"/>
        </w:r>
        <w:r w:rsidR="003960FC">
          <w:rPr>
            <w:noProof/>
            <w:webHidden/>
          </w:rPr>
          <w:instrText xml:space="preserve"> PAGEREF _Toc54937034 \h </w:instrText>
        </w:r>
        <w:r w:rsidR="003960FC">
          <w:rPr>
            <w:noProof/>
            <w:webHidden/>
          </w:rPr>
        </w:r>
        <w:r w:rsidR="003960FC">
          <w:rPr>
            <w:noProof/>
            <w:webHidden/>
          </w:rPr>
          <w:fldChar w:fldCharType="separate"/>
        </w:r>
        <w:r w:rsidR="003960FC">
          <w:rPr>
            <w:noProof/>
            <w:webHidden/>
          </w:rPr>
          <w:t>13</w:t>
        </w:r>
        <w:r w:rsidR="003960FC">
          <w:rPr>
            <w:noProof/>
            <w:webHidden/>
          </w:rPr>
          <w:fldChar w:fldCharType="end"/>
        </w:r>
      </w:hyperlink>
    </w:p>
    <w:p w14:paraId="7C19F810" w14:textId="18140407" w:rsidR="003960FC" w:rsidRDefault="00DF4828">
      <w:pPr>
        <w:pStyle w:val="TOC4"/>
        <w:tabs>
          <w:tab w:val="right" w:leader="dot" w:pos="5030"/>
        </w:tabs>
        <w:rPr>
          <w:rFonts w:eastAsiaTheme="minorEastAsia"/>
          <w:smallCaps w:val="0"/>
          <w:noProof/>
          <w:sz w:val="22"/>
          <w:lang w:val="en-US" w:eastAsia="en-US" w:bidi="ar-SA"/>
        </w:rPr>
      </w:pPr>
      <w:hyperlink w:anchor="_Toc54937035" w:history="1">
        <w:r w:rsidR="003960FC" w:rsidRPr="00A66580">
          <w:rPr>
            <w:rStyle w:val="Hyperlink"/>
            <w:noProof/>
          </w:rPr>
          <w:t>Microsoft 365 Apps for enterprise</w:t>
        </w:r>
        <w:r w:rsidR="003960FC">
          <w:rPr>
            <w:noProof/>
            <w:webHidden/>
          </w:rPr>
          <w:tab/>
        </w:r>
        <w:r w:rsidR="003960FC">
          <w:rPr>
            <w:noProof/>
            <w:webHidden/>
          </w:rPr>
          <w:fldChar w:fldCharType="begin"/>
        </w:r>
        <w:r w:rsidR="003960FC">
          <w:rPr>
            <w:noProof/>
            <w:webHidden/>
          </w:rPr>
          <w:instrText xml:space="preserve"> PAGEREF _Toc54937035 \h </w:instrText>
        </w:r>
        <w:r w:rsidR="003960FC">
          <w:rPr>
            <w:noProof/>
            <w:webHidden/>
          </w:rPr>
        </w:r>
        <w:r w:rsidR="003960FC">
          <w:rPr>
            <w:noProof/>
            <w:webHidden/>
          </w:rPr>
          <w:fldChar w:fldCharType="separate"/>
        </w:r>
        <w:r w:rsidR="003960FC">
          <w:rPr>
            <w:noProof/>
            <w:webHidden/>
          </w:rPr>
          <w:t>13</w:t>
        </w:r>
        <w:r w:rsidR="003960FC">
          <w:rPr>
            <w:noProof/>
            <w:webHidden/>
          </w:rPr>
          <w:fldChar w:fldCharType="end"/>
        </w:r>
      </w:hyperlink>
    </w:p>
    <w:p w14:paraId="0B4E7F38" w14:textId="2211AA5D" w:rsidR="003960FC" w:rsidRDefault="00DF4828">
      <w:pPr>
        <w:pStyle w:val="TOC4"/>
        <w:tabs>
          <w:tab w:val="right" w:leader="dot" w:pos="5030"/>
        </w:tabs>
        <w:rPr>
          <w:rFonts w:eastAsiaTheme="minorEastAsia"/>
          <w:smallCaps w:val="0"/>
          <w:noProof/>
          <w:sz w:val="22"/>
          <w:lang w:val="en-US" w:eastAsia="en-US" w:bidi="ar-SA"/>
        </w:rPr>
      </w:pPr>
      <w:hyperlink w:anchor="_Toc54937036" w:history="1">
        <w:r w:rsidR="003960FC" w:rsidRPr="00A66580">
          <w:rPr>
            <w:rStyle w:val="Hyperlink"/>
            <w:noProof/>
          </w:rPr>
          <w:t>Office 365 Advanced Compliance</w:t>
        </w:r>
        <w:r w:rsidR="003960FC">
          <w:rPr>
            <w:noProof/>
            <w:webHidden/>
          </w:rPr>
          <w:tab/>
        </w:r>
        <w:r w:rsidR="003960FC">
          <w:rPr>
            <w:noProof/>
            <w:webHidden/>
          </w:rPr>
          <w:fldChar w:fldCharType="begin"/>
        </w:r>
        <w:r w:rsidR="003960FC">
          <w:rPr>
            <w:noProof/>
            <w:webHidden/>
          </w:rPr>
          <w:instrText xml:space="preserve"> PAGEREF _Toc54937036 \h </w:instrText>
        </w:r>
        <w:r w:rsidR="003960FC">
          <w:rPr>
            <w:noProof/>
            <w:webHidden/>
          </w:rPr>
        </w:r>
        <w:r w:rsidR="003960FC">
          <w:rPr>
            <w:noProof/>
            <w:webHidden/>
          </w:rPr>
          <w:fldChar w:fldCharType="separate"/>
        </w:r>
        <w:r w:rsidR="003960FC">
          <w:rPr>
            <w:noProof/>
            <w:webHidden/>
          </w:rPr>
          <w:t>13</w:t>
        </w:r>
        <w:r w:rsidR="003960FC">
          <w:rPr>
            <w:noProof/>
            <w:webHidden/>
          </w:rPr>
          <w:fldChar w:fldCharType="end"/>
        </w:r>
      </w:hyperlink>
    </w:p>
    <w:p w14:paraId="5D732F21" w14:textId="1F80BF49" w:rsidR="003960FC" w:rsidRDefault="00DF4828">
      <w:pPr>
        <w:pStyle w:val="TOC4"/>
        <w:tabs>
          <w:tab w:val="right" w:leader="dot" w:pos="5030"/>
        </w:tabs>
        <w:rPr>
          <w:rFonts w:eastAsiaTheme="minorEastAsia"/>
          <w:smallCaps w:val="0"/>
          <w:noProof/>
          <w:sz w:val="22"/>
          <w:lang w:val="en-US" w:eastAsia="en-US" w:bidi="ar-SA"/>
        </w:rPr>
      </w:pPr>
      <w:hyperlink w:anchor="_Toc54937037" w:history="1">
        <w:r w:rsidR="003960FC" w:rsidRPr="00A66580">
          <w:rPr>
            <w:rStyle w:val="Hyperlink"/>
            <w:noProof/>
          </w:rPr>
          <w:t>Office Online</w:t>
        </w:r>
        <w:r w:rsidR="003960FC">
          <w:rPr>
            <w:noProof/>
            <w:webHidden/>
          </w:rPr>
          <w:tab/>
        </w:r>
        <w:r w:rsidR="003960FC">
          <w:rPr>
            <w:noProof/>
            <w:webHidden/>
          </w:rPr>
          <w:fldChar w:fldCharType="begin"/>
        </w:r>
        <w:r w:rsidR="003960FC">
          <w:rPr>
            <w:noProof/>
            <w:webHidden/>
          </w:rPr>
          <w:instrText xml:space="preserve"> PAGEREF _Toc54937037 \h </w:instrText>
        </w:r>
        <w:r w:rsidR="003960FC">
          <w:rPr>
            <w:noProof/>
            <w:webHidden/>
          </w:rPr>
        </w:r>
        <w:r w:rsidR="003960FC">
          <w:rPr>
            <w:noProof/>
            <w:webHidden/>
          </w:rPr>
          <w:fldChar w:fldCharType="separate"/>
        </w:r>
        <w:r w:rsidR="003960FC">
          <w:rPr>
            <w:noProof/>
            <w:webHidden/>
          </w:rPr>
          <w:t>14</w:t>
        </w:r>
        <w:r w:rsidR="003960FC">
          <w:rPr>
            <w:noProof/>
            <w:webHidden/>
          </w:rPr>
          <w:fldChar w:fldCharType="end"/>
        </w:r>
      </w:hyperlink>
    </w:p>
    <w:p w14:paraId="26E3F023" w14:textId="667858D5" w:rsidR="003960FC" w:rsidRDefault="00DF4828">
      <w:pPr>
        <w:pStyle w:val="TOC4"/>
        <w:tabs>
          <w:tab w:val="right" w:leader="dot" w:pos="5030"/>
        </w:tabs>
        <w:rPr>
          <w:rFonts w:eastAsiaTheme="minorEastAsia"/>
          <w:smallCaps w:val="0"/>
          <w:noProof/>
          <w:sz w:val="22"/>
          <w:lang w:val="en-US" w:eastAsia="en-US" w:bidi="ar-SA"/>
        </w:rPr>
      </w:pPr>
      <w:hyperlink w:anchor="_Toc54937038" w:history="1">
        <w:r w:rsidR="003960FC" w:rsidRPr="00A66580">
          <w:rPr>
            <w:rStyle w:val="Hyperlink"/>
            <w:noProof/>
          </w:rPr>
          <w:t>Wideo Office 365</w:t>
        </w:r>
        <w:r w:rsidR="003960FC">
          <w:rPr>
            <w:noProof/>
            <w:webHidden/>
          </w:rPr>
          <w:tab/>
        </w:r>
        <w:r w:rsidR="003960FC">
          <w:rPr>
            <w:noProof/>
            <w:webHidden/>
          </w:rPr>
          <w:fldChar w:fldCharType="begin"/>
        </w:r>
        <w:r w:rsidR="003960FC">
          <w:rPr>
            <w:noProof/>
            <w:webHidden/>
          </w:rPr>
          <w:instrText xml:space="preserve"> PAGEREF _Toc54937038 \h </w:instrText>
        </w:r>
        <w:r w:rsidR="003960FC">
          <w:rPr>
            <w:noProof/>
            <w:webHidden/>
          </w:rPr>
        </w:r>
        <w:r w:rsidR="003960FC">
          <w:rPr>
            <w:noProof/>
            <w:webHidden/>
          </w:rPr>
          <w:fldChar w:fldCharType="separate"/>
        </w:r>
        <w:r w:rsidR="003960FC">
          <w:rPr>
            <w:noProof/>
            <w:webHidden/>
          </w:rPr>
          <w:t>14</w:t>
        </w:r>
        <w:r w:rsidR="003960FC">
          <w:rPr>
            <w:noProof/>
            <w:webHidden/>
          </w:rPr>
          <w:fldChar w:fldCharType="end"/>
        </w:r>
      </w:hyperlink>
    </w:p>
    <w:p w14:paraId="11803ED1" w14:textId="72D8625B" w:rsidR="003960FC" w:rsidRDefault="00DF4828">
      <w:pPr>
        <w:pStyle w:val="TOC4"/>
        <w:tabs>
          <w:tab w:val="right" w:leader="dot" w:pos="5030"/>
        </w:tabs>
        <w:rPr>
          <w:rFonts w:eastAsiaTheme="minorEastAsia"/>
          <w:smallCaps w:val="0"/>
          <w:noProof/>
          <w:sz w:val="22"/>
          <w:lang w:val="en-US" w:eastAsia="en-US" w:bidi="ar-SA"/>
        </w:rPr>
      </w:pPr>
      <w:hyperlink w:anchor="_Toc54937039" w:history="1">
        <w:r w:rsidR="003960FC" w:rsidRPr="00A66580">
          <w:rPr>
            <w:rStyle w:val="Hyperlink"/>
            <w:noProof/>
          </w:rPr>
          <w:t>OneDrive for Business</w:t>
        </w:r>
        <w:r w:rsidR="003960FC">
          <w:rPr>
            <w:noProof/>
            <w:webHidden/>
          </w:rPr>
          <w:tab/>
        </w:r>
        <w:r w:rsidR="003960FC">
          <w:rPr>
            <w:noProof/>
            <w:webHidden/>
          </w:rPr>
          <w:fldChar w:fldCharType="begin"/>
        </w:r>
        <w:r w:rsidR="003960FC">
          <w:rPr>
            <w:noProof/>
            <w:webHidden/>
          </w:rPr>
          <w:instrText xml:space="preserve"> PAGEREF _Toc54937039 \h </w:instrText>
        </w:r>
        <w:r w:rsidR="003960FC">
          <w:rPr>
            <w:noProof/>
            <w:webHidden/>
          </w:rPr>
        </w:r>
        <w:r w:rsidR="003960FC">
          <w:rPr>
            <w:noProof/>
            <w:webHidden/>
          </w:rPr>
          <w:fldChar w:fldCharType="separate"/>
        </w:r>
        <w:r w:rsidR="003960FC">
          <w:rPr>
            <w:noProof/>
            <w:webHidden/>
          </w:rPr>
          <w:t>14</w:t>
        </w:r>
        <w:r w:rsidR="003960FC">
          <w:rPr>
            <w:noProof/>
            <w:webHidden/>
          </w:rPr>
          <w:fldChar w:fldCharType="end"/>
        </w:r>
      </w:hyperlink>
    </w:p>
    <w:p w14:paraId="7FF69211" w14:textId="025E76DD" w:rsidR="003960FC" w:rsidRDefault="00DF4828">
      <w:pPr>
        <w:pStyle w:val="TOC4"/>
        <w:tabs>
          <w:tab w:val="right" w:leader="dot" w:pos="5030"/>
        </w:tabs>
        <w:rPr>
          <w:rFonts w:eastAsiaTheme="minorEastAsia"/>
          <w:smallCaps w:val="0"/>
          <w:noProof/>
          <w:sz w:val="22"/>
          <w:lang w:val="en-US" w:eastAsia="en-US" w:bidi="ar-SA"/>
        </w:rPr>
      </w:pPr>
      <w:hyperlink w:anchor="_Toc54937040" w:history="1">
        <w:r w:rsidR="003960FC" w:rsidRPr="00A66580">
          <w:rPr>
            <w:rStyle w:val="Hyperlink"/>
            <w:noProof/>
          </w:rPr>
          <w:t>Project</w:t>
        </w:r>
        <w:r w:rsidR="003960FC">
          <w:rPr>
            <w:noProof/>
            <w:webHidden/>
          </w:rPr>
          <w:tab/>
        </w:r>
        <w:r w:rsidR="003960FC">
          <w:rPr>
            <w:noProof/>
            <w:webHidden/>
          </w:rPr>
          <w:fldChar w:fldCharType="begin"/>
        </w:r>
        <w:r w:rsidR="003960FC">
          <w:rPr>
            <w:noProof/>
            <w:webHidden/>
          </w:rPr>
          <w:instrText xml:space="preserve"> PAGEREF _Toc54937040 \h </w:instrText>
        </w:r>
        <w:r w:rsidR="003960FC">
          <w:rPr>
            <w:noProof/>
            <w:webHidden/>
          </w:rPr>
        </w:r>
        <w:r w:rsidR="003960FC">
          <w:rPr>
            <w:noProof/>
            <w:webHidden/>
          </w:rPr>
          <w:fldChar w:fldCharType="separate"/>
        </w:r>
        <w:r w:rsidR="003960FC">
          <w:rPr>
            <w:noProof/>
            <w:webHidden/>
          </w:rPr>
          <w:t>15</w:t>
        </w:r>
        <w:r w:rsidR="003960FC">
          <w:rPr>
            <w:noProof/>
            <w:webHidden/>
          </w:rPr>
          <w:fldChar w:fldCharType="end"/>
        </w:r>
      </w:hyperlink>
    </w:p>
    <w:p w14:paraId="314E9495" w14:textId="23C593B0" w:rsidR="003960FC" w:rsidRDefault="00DF4828">
      <w:pPr>
        <w:pStyle w:val="TOC4"/>
        <w:tabs>
          <w:tab w:val="right" w:leader="dot" w:pos="5030"/>
        </w:tabs>
        <w:rPr>
          <w:rFonts w:eastAsiaTheme="minorEastAsia"/>
          <w:smallCaps w:val="0"/>
          <w:noProof/>
          <w:sz w:val="22"/>
          <w:lang w:val="en-US" w:eastAsia="en-US" w:bidi="ar-SA"/>
        </w:rPr>
      </w:pPr>
      <w:hyperlink w:anchor="_Toc54937041" w:history="1">
        <w:r w:rsidR="003960FC" w:rsidRPr="00A66580">
          <w:rPr>
            <w:rStyle w:val="Hyperlink"/>
            <w:noProof/>
          </w:rPr>
          <w:t>SharePoint Online</w:t>
        </w:r>
        <w:r w:rsidR="003960FC">
          <w:rPr>
            <w:noProof/>
            <w:webHidden/>
          </w:rPr>
          <w:tab/>
        </w:r>
        <w:r w:rsidR="003960FC">
          <w:rPr>
            <w:noProof/>
            <w:webHidden/>
          </w:rPr>
          <w:fldChar w:fldCharType="begin"/>
        </w:r>
        <w:r w:rsidR="003960FC">
          <w:rPr>
            <w:noProof/>
            <w:webHidden/>
          </w:rPr>
          <w:instrText xml:space="preserve"> PAGEREF _Toc54937041 \h </w:instrText>
        </w:r>
        <w:r w:rsidR="003960FC">
          <w:rPr>
            <w:noProof/>
            <w:webHidden/>
          </w:rPr>
        </w:r>
        <w:r w:rsidR="003960FC">
          <w:rPr>
            <w:noProof/>
            <w:webHidden/>
          </w:rPr>
          <w:fldChar w:fldCharType="separate"/>
        </w:r>
        <w:r w:rsidR="003960FC">
          <w:rPr>
            <w:noProof/>
            <w:webHidden/>
          </w:rPr>
          <w:t>15</w:t>
        </w:r>
        <w:r w:rsidR="003960FC">
          <w:rPr>
            <w:noProof/>
            <w:webHidden/>
          </w:rPr>
          <w:fldChar w:fldCharType="end"/>
        </w:r>
      </w:hyperlink>
    </w:p>
    <w:p w14:paraId="2EA6DC17" w14:textId="3EA4D639" w:rsidR="003960FC" w:rsidRDefault="00DF4828">
      <w:pPr>
        <w:pStyle w:val="TOC4"/>
        <w:tabs>
          <w:tab w:val="right" w:leader="dot" w:pos="5030"/>
        </w:tabs>
        <w:rPr>
          <w:rFonts w:eastAsiaTheme="minorEastAsia"/>
          <w:smallCaps w:val="0"/>
          <w:noProof/>
          <w:sz w:val="22"/>
          <w:lang w:val="en-US" w:eastAsia="en-US" w:bidi="ar-SA"/>
        </w:rPr>
      </w:pPr>
      <w:hyperlink w:anchor="_Toc54937042" w:history="1">
        <w:r w:rsidR="003960FC" w:rsidRPr="00A66580">
          <w:rPr>
            <w:rStyle w:val="Hyperlink"/>
            <w:noProof/>
          </w:rPr>
          <w:t>Skype dla firm Online</w:t>
        </w:r>
        <w:r w:rsidR="003960FC">
          <w:rPr>
            <w:noProof/>
            <w:webHidden/>
          </w:rPr>
          <w:tab/>
        </w:r>
        <w:r w:rsidR="003960FC">
          <w:rPr>
            <w:noProof/>
            <w:webHidden/>
          </w:rPr>
          <w:fldChar w:fldCharType="begin"/>
        </w:r>
        <w:r w:rsidR="003960FC">
          <w:rPr>
            <w:noProof/>
            <w:webHidden/>
          </w:rPr>
          <w:instrText xml:space="preserve"> PAGEREF _Toc54937042 \h </w:instrText>
        </w:r>
        <w:r w:rsidR="003960FC">
          <w:rPr>
            <w:noProof/>
            <w:webHidden/>
          </w:rPr>
        </w:r>
        <w:r w:rsidR="003960FC">
          <w:rPr>
            <w:noProof/>
            <w:webHidden/>
          </w:rPr>
          <w:fldChar w:fldCharType="separate"/>
        </w:r>
        <w:r w:rsidR="003960FC">
          <w:rPr>
            <w:noProof/>
            <w:webHidden/>
          </w:rPr>
          <w:t>16</w:t>
        </w:r>
        <w:r w:rsidR="003960FC">
          <w:rPr>
            <w:noProof/>
            <w:webHidden/>
          </w:rPr>
          <w:fldChar w:fldCharType="end"/>
        </w:r>
      </w:hyperlink>
    </w:p>
    <w:p w14:paraId="52562E87" w14:textId="245A6497" w:rsidR="003960FC" w:rsidRDefault="00DF4828">
      <w:pPr>
        <w:pStyle w:val="TOC4"/>
        <w:tabs>
          <w:tab w:val="right" w:leader="dot" w:pos="5030"/>
        </w:tabs>
        <w:rPr>
          <w:rFonts w:eastAsiaTheme="minorEastAsia"/>
          <w:smallCaps w:val="0"/>
          <w:noProof/>
          <w:sz w:val="22"/>
          <w:lang w:val="en-US" w:eastAsia="en-US" w:bidi="ar-SA"/>
        </w:rPr>
      </w:pPr>
      <w:hyperlink w:anchor="_Toc54937043" w:history="1">
        <w:r w:rsidR="003960FC" w:rsidRPr="00A66580">
          <w:rPr>
            <w:rStyle w:val="Hyperlink"/>
            <w:noProof/>
          </w:rPr>
          <w:t>Pakiety telefoniczne i konferencje głosowe w oprogramowaniu Microsoft Teams</w:t>
        </w:r>
        <w:r w:rsidR="003960FC">
          <w:rPr>
            <w:noProof/>
            <w:webHidden/>
          </w:rPr>
          <w:tab/>
        </w:r>
        <w:r w:rsidR="003960FC">
          <w:rPr>
            <w:noProof/>
            <w:webHidden/>
          </w:rPr>
          <w:fldChar w:fldCharType="begin"/>
        </w:r>
        <w:r w:rsidR="003960FC">
          <w:rPr>
            <w:noProof/>
            <w:webHidden/>
          </w:rPr>
          <w:instrText xml:space="preserve"> PAGEREF _Toc54937043 \h </w:instrText>
        </w:r>
        <w:r w:rsidR="003960FC">
          <w:rPr>
            <w:noProof/>
            <w:webHidden/>
          </w:rPr>
        </w:r>
        <w:r w:rsidR="003960FC">
          <w:rPr>
            <w:noProof/>
            <w:webHidden/>
          </w:rPr>
          <w:fldChar w:fldCharType="separate"/>
        </w:r>
        <w:r w:rsidR="003960FC">
          <w:rPr>
            <w:noProof/>
            <w:webHidden/>
          </w:rPr>
          <w:t>16</w:t>
        </w:r>
        <w:r w:rsidR="003960FC">
          <w:rPr>
            <w:noProof/>
            <w:webHidden/>
          </w:rPr>
          <w:fldChar w:fldCharType="end"/>
        </w:r>
      </w:hyperlink>
    </w:p>
    <w:p w14:paraId="4F43D885" w14:textId="2DC9BA7F" w:rsidR="003960FC" w:rsidRDefault="00DF4828">
      <w:pPr>
        <w:pStyle w:val="TOC4"/>
        <w:tabs>
          <w:tab w:val="right" w:leader="dot" w:pos="5030"/>
        </w:tabs>
        <w:rPr>
          <w:rFonts w:eastAsiaTheme="minorEastAsia"/>
          <w:smallCaps w:val="0"/>
          <w:noProof/>
          <w:sz w:val="22"/>
          <w:lang w:val="en-US" w:eastAsia="en-US" w:bidi="ar-SA"/>
        </w:rPr>
      </w:pPr>
      <w:hyperlink w:anchor="_Toc54937044" w:history="1">
        <w:r w:rsidR="003960FC" w:rsidRPr="00A66580">
          <w:rPr>
            <w:rStyle w:val="Hyperlink"/>
            <w:noProof/>
          </w:rPr>
          <w:t>Jakość głosu w oprogramowaniu Microsoft Teams</w:t>
        </w:r>
        <w:r w:rsidR="003960FC">
          <w:rPr>
            <w:noProof/>
            <w:webHidden/>
          </w:rPr>
          <w:tab/>
        </w:r>
        <w:r w:rsidR="003960FC">
          <w:rPr>
            <w:noProof/>
            <w:webHidden/>
          </w:rPr>
          <w:fldChar w:fldCharType="begin"/>
        </w:r>
        <w:r w:rsidR="003960FC">
          <w:rPr>
            <w:noProof/>
            <w:webHidden/>
          </w:rPr>
          <w:instrText xml:space="preserve"> PAGEREF _Toc54937044 \h </w:instrText>
        </w:r>
        <w:r w:rsidR="003960FC">
          <w:rPr>
            <w:noProof/>
            <w:webHidden/>
          </w:rPr>
        </w:r>
        <w:r w:rsidR="003960FC">
          <w:rPr>
            <w:noProof/>
            <w:webHidden/>
          </w:rPr>
          <w:fldChar w:fldCharType="separate"/>
        </w:r>
        <w:r w:rsidR="003960FC">
          <w:rPr>
            <w:noProof/>
            <w:webHidden/>
          </w:rPr>
          <w:t>16</w:t>
        </w:r>
        <w:r w:rsidR="003960FC">
          <w:rPr>
            <w:noProof/>
            <w:webHidden/>
          </w:rPr>
          <w:fldChar w:fldCharType="end"/>
        </w:r>
      </w:hyperlink>
    </w:p>
    <w:p w14:paraId="78D63A3C" w14:textId="6AA351C0" w:rsidR="003960FC" w:rsidRDefault="00DF4828">
      <w:pPr>
        <w:pStyle w:val="TOC4"/>
        <w:tabs>
          <w:tab w:val="right" w:leader="dot" w:pos="5030"/>
        </w:tabs>
        <w:rPr>
          <w:rFonts w:eastAsiaTheme="minorEastAsia"/>
          <w:smallCaps w:val="0"/>
          <w:noProof/>
          <w:sz w:val="22"/>
          <w:lang w:val="en-US" w:eastAsia="en-US" w:bidi="ar-SA"/>
        </w:rPr>
      </w:pPr>
      <w:hyperlink w:anchor="_Toc54937045" w:history="1">
        <w:r w:rsidR="003960FC" w:rsidRPr="00A66580">
          <w:rPr>
            <w:rStyle w:val="Hyperlink"/>
            <w:noProof/>
          </w:rPr>
          <w:t>Usługa Workplace Analytics</w:t>
        </w:r>
        <w:r w:rsidR="003960FC">
          <w:rPr>
            <w:noProof/>
            <w:webHidden/>
          </w:rPr>
          <w:tab/>
        </w:r>
        <w:r w:rsidR="003960FC">
          <w:rPr>
            <w:noProof/>
            <w:webHidden/>
          </w:rPr>
          <w:fldChar w:fldCharType="begin"/>
        </w:r>
        <w:r w:rsidR="003960FC">
          <w:rPr>
            <w:noProof/>
            <w:webHidden/>
          </w:rPr>
          <w:instrText xml:space="preserve"> PAGEREF _Toc54937045 \h </w:instrText>
        </w:r>
        <w:r w:rsidR="003960FC">
          <w:rPr>
            <w:noProof/>
            <w:webHidden/>
          </w:rPr>
        </w:r>
        <w:r w:rsidR="003960FC">
          <w:rPr>
            <w:noProof/>
            <w:webHidden/>
          </w:rPr>
          <w:fldChar w:fldCharType="separate"/>
        </w:r>
        <w:r w:rsidR="003960FC">
          <w:rPr>
            <w:noProof/>
            <w:webHidden/>
          </w:rPr>
          <w:t>17</w:t>
        </w:r>
        <w:r w:rsidR="003960FC">
          <w:rPr>
            <w:noProof/>
            <w:webHidden/>
          </w:rPr>
          <w:fldChar w:fldCharType="end"/>
        </w:r>
      </w:hyperlink>
    </w:p>
    <w:p w14:paraId="4D84FA6B" w14:textId="129654B7" w:rsidR="003960FC" w:rsidRDefault="00DF4828">
      <w:pPr>
        <w:pStyle w:val="TOC4"/>
        <w:tabs>
          <w:tab w:val="right" w:leader="dot" w:pos="5030"/>
        </w:tabs>
        <w:rPr>
          <w:rFonts w:eastAsiaTheme="minorEastAsia"/>
          <w:smallCaps w:val="0"/>
          <w:noProof/>
          <w:sz w:val="22"/>
          <w:lang w:val="en-US" w:eastAsia="en-US" w:bidi="ar-SA"/>
        </w:rPr>
      </w:pPr>
      <w:hyperlink w:anchor="_Toc54937046" w:history="1">
        <w:r w:rsidR="003960FC" w:rsidRPr="00A66580">
          <w:rPr>
            <w:rStyle w:val="Hyperlink"/>
            <w:noProof/>
          </w:rPr>
          <w:t>Yammer Enterprise</w:t>
        </w:r>
        <w:r w:rsidR="003960FC">
          <w:rPr>
            <w:noProof/>
            <w:webHidden/>
          </w:rPr>
          <w:tab/>
        </w:r>
        <w:r w:rsidR="003960FC">
          <w:rPr>
            <w:noProof/>
            <w:webHidden/>
          </w:rPr>
          <w:fldChar w:fldCharType="begin"/>
        </w:r>
        <w:r w:rsidR="003960FC">
          <w:rPr>
            <w:noProof/>
            <w:webHidden/>
          </w:rPr>
          <w:instrText xml:space="preserve"> PAGEREF _Toc54937046 \h </w:instrText>
        </w:r>
        <w:r w:rsidR="003960FC">
          <w:rPr>
            <w:noProof/>
            <w:webHidden/>
          </w:rPr>
        </w:r>
        <w:r w:rsidR="003960FC">
          <w:rPr>
            <w:noProof/>
            <w:webHidden/>
          </w:rPr>
          <w:fldChar w:fldCharType="separate"/>
        </w:r>
        <w:r w:rsidR="003960FC">
          <w:rPr>
            <w:noProof/>
            <w:webHidden/>
          </w:rPr>
          <w:t>17</w:t>
        </w:r>
        <w:r w:rsidR="003960FC">
          <w:rPr>
            <w:noProof/>
            <w:webHidden/>
          </w:rPr>
          <w:fldChar w:fldCharType="end"/>
        </w:r>
      </w:hyperlink>
    </w:p>
    <w:p w14:paraId="0187C6FF" w14:textId="1DC28D19" w:rsidR="003960FC" w:rsidRDefault="00DF4828">
      <w:pPr>
        <w:pStyle w:val="TOC2"/>
        <w:tabs>
          <w:tab w:val="right" w:leader="dot" w:pos="5030"/>
        </w:tabs>
        <w:rPr>
          <w:rFonts w:eastAsiaTheme="minorEastAsia"/>
          <w:b w:val="0"/>
          <w:smallCaps w:val="0"/>
          <w:noProof/>
          <w:sz w:val="22"/>
          <w:lang w:val="en-US" w:eastAsia="en-US" w:bidi="ar-SA"/>
        </w:rPr>
      </w:pPr>
      <w:hyperlink w:anchor="_Toc54937047" w:history="1">
        <w:r w:rsidR="003960FC" w:rsidRPr="00A66580">
          <w:rPr>
            <w:rStyle w:val="Hyperlink"/>
            <w:noProof/>
          </w:rPr>
          <w:t>Usługi Microsoft Azure i Plany Azure</w:t>
        </w:r>
        <w:r w:rsidR="003960FC">
          <w:rPr>
            <w:noProof/>
            <w:webHidden/>
          </w:rPr>
          <w:tab/>
        </w:r>
        <w:r w:rsidR="003960FC">
          <w:rPr>
            <w:noProof/>
            <w:webHidden/>
          </w:rPr>
          <w:fldChar w:fldCharType="begin"/>
        </w:r>
        <w:r w:rsidR="003960FC">
          <w:rPr>
            <w:noProof/>
            <w:webHidden/>
          </w:rPr>
          <w:instrText xml:space="preserve"> PAGEREF _Toc54937047 \h </w:instrText>
        </w:r>
        <w:r w:rsidR="003960FC">
          <w:rPr>
            <w:noProof/>
            <w:webHidden/>
          </w:rPr>
        </w:r>
        <w:r w:rsidR="003960FC">
          <w:rPr>
            <w:noProof/>
            <w:webHidden/>
          </w:rPr>
          <w:fldChar w:fldCharType="separate"/>
        </w:r>
        <w:r w:rsidR="003960FC">
          <w:rPr>
            <w:noProof/>
            <w:webHidden/>
          </w:rPr>
          <w:t>17</w:t>
        </w:r>
        <w:r w:rsidR="003960FC">
          <w:rPr>
            <w:noProof/>
            <w:webHidden/>
          </w:rPr>
          <w:fldChar w:fldCharType="end"/>
        </w:r>
      </w:hyperlink>
    </w:p>
    <w:p w14:paraId="50E9DC3C" w14:textId="2975F864" w:rsidR="003960FC" w:rsidRDefault="00DF4828">
      <w:pPr>
        <w:pStyle w:val="TOC2"/>
        <w:tabs>
          <w:tab w:val="right" w:leader="dot" w:pos="5030"/>
        </w:tabs>
        <w:rPr>
          <w:rFonts w:eastAsiaTheme="minorEastAsia"/>
          <w:b w:val="0"/>
          <w:smallCaps w:val="0"/>
          <w:noProof/>
          <w:sz w:val="22"/>
          <w:lang w:val="en-US" w:eastAsia="en-US" w:bidi="ar-SA"/>
        </w:rPr>
      </w:pPr>
      <w:hyperlink w:anchor="_Toc54937048" w:history="1">
        <w:r w:rsidR="003960FC" w:rsidRPr="00A66580">
          <w:rPr>
            <w:rStyle w:val="Hyperlink"/>
            <w:noProof/>
          </w:rPr>
          <w:t>Inne usługi online</w:t>
        </w:r>
        <w:r w:rsidR="003960FC">
          <w:rPr>
            <w:noProof/>
            <w:webHidden/>
          </w:rPr>
          <w:tab/>
        </w:r>
        <w:r w:rsidR="003960FC">
          <w:rPr>
            <w:noProof/>
            <w:webHidden/>
          </w:rPr>
          <w:fldChar w:fldCharType="begin"/>
        </w:r>
        <w:r w:rsidR="003960FC">
          <w:rPr>
            <w:noProof/>
            <w:webHidden/>
          </w:rPr>
          <w:instrText xml:space="preserve"> PAGEREF _Toc54937048 \h </w:instrText>
        </w:r>
        <w:r w:rsidR="003960FC">
          <w:rPr>
            <w:noProof/>
            <w:webHidden/>
          </w:rPr>
        </w:r>
        <w:r w:rsidR="003960FC">
          <w:rPr>
            <w:noProof/>
            <w:webHidden/>
          </w:rPr>
          <w:fldChar w:fldCharType="separate"/>
        </w:r>
        <w:r w:rsidR="003960FC">
          <w:rPr>
            <w:noProof/>
            <w:webHidden/>
          </w:rPr>
          <w:t>18</w:t>
        </w:r>
        <w:r w:rsidR="003960FC">
          <w:rPr>
            <w:noProof/>
            <w:webHidden/>
          </w:rPr>
          <w:fldChar w:fldCharType="end"/>
        </w:r>
      </w:hyperlink>
    </w:p>
    <w:p w14:paraId="36B2BB19" w14:textId="174F952D" w:rsidR="003960FC" w:rsidRDefault="00DF4828">
      <w:pPr>
        <w:pStyle w:val="TOC4"/>
        <w:tabs>
          <w:tab w:val="right" w:leader="dot" w:pos="5030"/>
        </w:tabs>
        <w:rPr>
          <w:rFonts w:eastAsiaTheme="minorEastAsia"/>
          <w:smallCaps w:val="0"/>
          <w:noProof/>
          <w:sz w:val="22"/>
          <w:lang w:val="en-US" w:eastAsia="en-US" w:bidi="ar-SA"/>
        </w:rPr>
      </w:pPr>
      <w:hyperlink w:anchor="_Toc54937049" w:history="1">
        <w:r w:rsidR="003960FC" w:rsidRPr="00A66580">
          <w:rPr>
            <w:rStyle w:val="Hyperlink"/>
            <w:noProof/>
          </w:rPr>
          <w:t>Zaawansowana ochrona przed zagrożeniami w usłudze Azure</w:t>
        </w:r>
        <w:r w:rsidR="003960FC">
          <w:rPr>
            <w:noProof/>
            <w:webHidden/>
          </w:rPr>
          <w:tab/>
        </w:r>
        <w:r w:rsidR="003960FC">
          <w:rPr>
            <w:noProof/>
            <w:webHidden/>
          </w:rPr>
          <w:fldChar w:fldCharType="begin"/>
        </w:r>
        <w:r w:rsidR="003960FC">
          <w:rPr>
            <w:noProof/>
            <w:webHidden/>
          </w:rPr>
          <w:instrText xml:space="preserve"> PAGEREF _Toc54937049 \h </w:instrText>
        </w:r>
        <w:r w:rsidR="003960FC">
          <w:rPr>
            <w:noProof/>
            <w:webHidden/>
          </w:rPr>
        </w:r>
        <w:r w:rsidR="003960FC">
          <w:rPr>
            <w:noProof/>
            <w:webHidden/>
          </w:rPr>
          <w:fldChar w:fldCharType="separate"/>
        </w:r>
        <w:r w:rsidR="003960FC">
          <w:rPr>
            <w:noProof/>
            <w:webHidden/>
          </w:rPr>
          <w:t>18</w:t>
        </w:r>
        <w:r w:rsidR="003960FC">
          <w:rPr>
            <w:noProof/>
            <w:webHidden/>
          </w:rPr>
          <w:fldChar w:fldCharType="end"/>
        </w:r>
      </w:hyperlink>
    </w:p>
    <w:p w14:paraId="01C07019" w14:textId="11632290" w:rsidR="003960FC" w:rsidRDefault="00DF4828">
      <w:pPr>
        <w:pStyle w:val="TOC4"/>
        <w:tabs>
          <w:tab w:val="right" w:leader="dot" w:pos="5030"/>
        </w:tabs>
        <w:rPr>
          <w:rFonts w:eastAsiaTheme="minorEastAsia"/>
          <w:smallCaps w:val="0"/>
          <w:noProof/>
          <w:sz w:val="22"/>
          <w:lang w:val="en-US" w:eastAsia="en-US" w:bidi="ar-SA"/>
        </w:rPr>
      </w:pPr>
      <w:hyperlink w:anchor="_Toc54937050" w:history="1">
        <w:r w:rsidR="003960FC" w:rsidRPr="00A66580">
          <w:rPr>
            <w:rStyle w:val="Hyperlink"/>
            <w:noProof/>
          </w:rPr>
          <w:t>Bing Maps Enterprise Platform</w:t>
        </w:r>
        <w:r w:rsidR="003960FC">
          <w:rPr>
            <w:noProof/>
            <w:webHidden/>
          </w:rPr>
          <w:tab/>
        </w:r>
        <w:r w:rsidR="003960FC">
          <w:rPr>
            <w:noProof/>
            <w:webHidden/>
          </w:rPr>
          <w:fldChar w:fldCharType="begin"/>
        </w:r>
        <w:r w:rsidR="003960FC">
          <w:rPr>
            <w:noProof/>
            <w:webHidden/>
          </w:rPr>
          <w:instrText xml:space="preserve"> PAGEREF _Toc54937050 \h </w:instrText>
        </w:r>
        <w:r w:rsidR="003960FC">
          <w:rPr>
            <w:noProof/>
            <w:webHidden/>
          </w:rPr>
        </w:r>
        <w:r w:rsidR="003960FC">
          <w:rPr>
            <w:noProof/>
            <w:webHidden/>
          </w:rPr>
          <w:fldChar w:fldCharType="separate"/>
        </w:r>
        <w:r w:rsidR="003960FC">
          <w:rPr>
            <w:noProof/>
            <w:webHidden/>
          </w:rPr>
          <w:t>18</w:t>
        </w:r>
        <w:r w:rsidR="003960FC">
          <w:rPr>
            <w:noProof/>
            <w:webHidden/>
          </w:rPr>
          <w:fldChar w:fldCharType="end"/>
        </w:r>
      </w:hyperlink>
    </w:p>
    <w:p w14:paraId="4E992388" w14:textId="5350C349" w:rsidR="003960FC" w:rsidRDefault="00DF4828">
      <w:pPr>
        <w:pStyle w:val="TOC4"/>
        <w:tabs>
          <w:tab w:val="right" w:leader="dot" w:pos="5030"/>
        </w:tabs>
        <w:rPr>
          <w:rFonts w:eastAsiaTheme="minorEastAsia"/>
          <w:smallCaps w:val="0"/>
          <w:noProof/>
          <w:sz w:val="22"/>
          <w:lang w:val="en-US" w:eastAsia="en-US" w:bidi="ar-SA"/>
        </w:rPr>
      </w:pPr>
      <w:hyperlink w:anchor="_Toc54937051" w:history="1">
        <w:r w:rsidR="003960FC" w:rsidRPr="00A66580">
          <w:rPr>
            <w:rStyle w:val="Hyperlink"/>
            <w:noProof/>
          </w:rPr>
          <w:t>Usługa Bing Maps Mobile Asset Management</w:t>
        </w:r>
        <w:r w:rsidR="003960FC">
          <w:rPr>
            <w:noProof/>
            <w:webHidden/>
          </w:rPr>
          <w:tab/>
        </w:r>
        <w:r w:rsidR="003960FC">
          <w:rPr>
            <w:noProof/>
            <w:webHidden/>
          </w:rPr>
          <w:fldChar w:fldCharType="begin"/>
        </w:r>
        <w:r w:rsidR="003960FC">
          <w:rPr>
            <w:noProof/>
            <w:webHidden/>
          </w:rPr>
          <w:instrText xml:space="preserve"> PAGEREF _Toc54937051 \h </w:instrText>
        </w:r>
        <w:r w:rsidR="003960FC">
          <w:rPr>
            <w:noProof/>
            <w:webHidden/>
          </w:rPr>
        </w:r>
        <w:r w:rsidR="003960FC">
          <w:rPr>
            <w:noProof/>
            <w:webHidden/>
          </w:rPr>
          <w:fldChar w:fldCharType="separate"/>
        </w:r>
        <w:r w:rsidR="003960FC">
          <w:rPr>
            <w:noProof/>
            <w:webHidden/>
          </w:rPr>
          <w:t>18</w:t>
        </w:r>
        <w:r w:rsidR="003960FC">
          <w:rPr>
            <w:noProof/>
            <w:webHidden/>
          </w:rPr>
          <w:fldChar w:fldCharType="end"/>
        </w:r>
      </w:hyperlink>
    </w:p>
    <w:p w14:paraId="63F4F7F1" w14:textId="1BFD2BF8" w:rsidR="003960FC" w:rsidRDefault="00DF4828">
      <w:pPr>
        <w:pStyle w:val="TOC4"/>
        <w:tabs>
          <w:tab w:val="right" w:leader="dot" w:pos="5030"/>
        </w:tabs>
        <w:rPr>
          <w:rFonts w:eastAsiaTheme="minorEastAsia"/>
          <w:smallCaps w:val="0"/>
          <w:noProof/>
          <w:sz w:val="22"/>
          <w:lang w:val="en-US" w:eastAsia="en-US" w:bidi="ar-SA"/>
        </w:rPr>
      </w:pPr>
      <w:hyperlink w:anchor="_Toc54937052" w:history="1">
        <w:r w:rsidR="003960FC" w:rsidRPr="00A66580">
          <w:rPr>
            <w:rStyle w:val="Hyperlink"/>
            <w:noProof/>
          </w:rPr>
          <w:t>Microsoft Cloud App Security</w:t>
        </w:r>
        <w:r w:rsidR="003960FC">
          <w:rPr>
            <w:noProof/>
            <w:webHidden/>
          </w:rPr>
          <w:tab/>
        </w:r>
        <w:r w:rsidR="003960FC">
          <w:rPr>
            <w:noProof/>
            <w:webHidden/>
          </w:rPr>
          <w:fldChar w:fldCharType="begin"/>
        </w:r>
        <w:r w:rsidR="003960FC">
          <w:rPr>
            <w:noProof/>
            <w:webHidden/>
          </w:rPr>
          <w:instrText xml:space="preserve"> PAGEREF _Toc54937052 \h </w:instrText>
        </w:r>
        <w:r w:rsidR="003960FC">
          <w:rPr>
            <w:noProof/>
            <w:webHidden/>
          </w:rPr>
        </w:r>
        <w:r w:rsidR="003960FC">
          <w:rPr>
            <w:noProof/>
            <w:webHidden/>
          </w:rPr>
          <w:fldChar w:fldCharType="separate"/>
        </w:r>
        <w:r w:rsidR="003960FC">
          <w:rPr>
            <w:noProof/>
            <w:webHidden/>
          </w:rPr>
          <w:t>19</w:t>
        </w:r>
        <w:r w:rsidR="003960FC">
          <w:rPr>
            <w:noProof/>
            <w:webHidden/>
          </w:rPr>
          <w:fldChar w:fldCharType="end"/>
        </w:r>
      </w:hyperlink>
    </w:p>
    <w:p w14:paraId="47D8B9BC" w14:textId="17531D20" w:rsidR="003960FC" w:rsidRDefault="00DF4828">
      <w:pPr>
        <w:pStyle w:val="TOC4"/>
        <w:tabs>
          <w:tab w:val="right" w:leader="dot" w:pos="5030"/>
        </w:tabs>
        <w:rPr>
          <w:rFonts w:eastAsiaTheme="minorEastAsia"/>
          <w:smallCaps w:val="0"/>
          <w:noProof/>
          <w:sz w:val="22"/>
          <w:lang w:val="en-US" w:eastAsia="en-US" w:bidi="ar-SA"/>
        </w:rPr>
      </w:pPr>
      <w:hyperlink w:anchor="_Toc54937053" w:history="1">
        <w:r w:rsidR="003960FC" w:rsidRPr="00A66580">
          <w:rPr>
            <w:rStyle w:val="Hyperlink"/>
            <w:noProof/>
          </w:rPr>
          <w:t>Microsoft Power Automate</w:t>
        </w:r>
        <w:r w:rsidR="003960FC">
          <w:rPr>
            <w:noProof/>
            <w:webHidden/>
          </w:rPr>
          <w:tab/>
        </w:r>
        <w:r w:rsidR="003960FC">
          <w:rPr>
            <w:noProof/>
            <w:webHidden/>
          </w:rPr>
          <w:fldChar w:fldCharType="begin"/>
        </w:r>
        <w:r w:rsidR="003960FC">
          <w:rPr>
            <w:noProof/>
            <w:webHidden/>
          </w:rPr>
          <w:instrText xml:space="preserve"> PAGEREF _Toc54937053 \h </w:instrText>
        </w:r>
        <w:r w:rsidR="003960FC">
          <w:rPr>
            <w:noProof/>
            <w:webHidden/>
          </w:rPr>
        </w:r>
        <w:r w:rsidR="003960FC">
          <w:rPr>
            <w:noProof/>
            <w:webHidden/>
          </w:rPr>
          <w:fldChar w:fldCharType="separate"/>
        </w:r>
        <w:r w:rsidR="003960FC">
          <w:rPr>
            <w:noProof/>
            <w:webHidden/>
          </w:rPr>
          <w:t>19</w:t>
        </w:r>
        <w:r w:rsidR="003960FC">
          <w:rPr>
            <w:noProof/>
            <w:webHidden/>
          </w:rPr>
          <w:fldChar w:fldCharType="end"/>
        </w:r>
      </w:hyperlink>
    </w:p>
    <w:p w14:paraId="605A2B53" w14:textId="54CBB7EB" w:rsidR="003960FC" w:rsidRDefault="00DF4828">
      <w:pPr>
        <w:pStyle w:val="TOC4"/>
        <w:tabs>
          <w:tab w:val="right" w:leader="dot" w:pos="5030"/>
        </w:tabs>
        <w:rPr>
          <w:rFonts w:eastAsiaTheme="minorEastAsia"/>
          <w:smallCaps w:val="0"/>
          <w:noProof/>
          <w:sz w:val="22"/>
          <w:lang w:val="en-US" w:eastAsia="en-US" w:bidi="ar-SA"/>
        </w:rPr>
      </w:pPr>
      <w:hyperlink w:anchor="_Toc54937054" w:history="1">
        <w:r w:rsidR="003960FC" w:rsidRPr="00A66580">
          <w:rPr>
            <w:rStyle w:val="Hyperlink"/>
            <w:noProof/>
          </w:rPr>
          <w:t>Microsoft Intune</w:t>
        </w:r>
        <w:r w:rsidR="003960FC">
          <w:rPr>
            <w:noProof/>
            <w:webHidden/>
          </w:rPr>
          <w:tab/>
        </w:r>
        <w:r w:rsidR="003960FC">
          <w:rPr>
            <w:noProof/>
            <w:webHidden/>
          </w:rPr>
          <w:fldChar w:fldCharType="begin"/>
        </w:r>
        <w:r w:rsidR="003960FC">
          <w:rPr>
            <w:noProof/>
            <w:webHidden/>
          </w:rPr>
          <w:instrText xml:space="preserve"> PAGEREF _Toc54937054 \h </w:instrText>
        </w:r>
        <w:r w:rsidR="003960FC">
          <w:rPr>
            <w:noProof/>
            <w:webHidden/>
          </w:rPr>
        </w:r>
        <w:r w:rsidR="003960FC">
          <w:rPr>
            <w:noProof/>
            <w:webHidden/>
          </w:rPr>
          <w:fldChar w:fldCharType="separate"/>
        </w:r>
        <w:r w:rsidR="003960FC">
          <w:rPr>
            <w:noProof/>
            <w:webHidden/>
          </w:rPr>
          <w:t>20</w:t>
        </w:r>
        <w:r w:rsidR="003960FC">
          <w:rPr>
            <w:noProof/>
            <w:webHidden/>
          </w:rPr>
          <w:fldChar w:fldCharType="end"/>
        </w:r>
      </w:hyperlink>
    </w:p>
    <w:p w14:paraId="7E3CFAAC" w14:textId="0B3C7017" w:rsidR="003960FC" w:rsidRDefault="00DF4828">
      <w:pPr>
        <w:pStyle w:val="TOC4"/>
        <w:tabs>
          <w:tab w:val="right" w:leader="dot" w:pos="5030"/>
        </w:tabs>
        <w:rPr>
          <w:rFonts w:eastAsiaTheme="minorEastAsia"/>
          <w:smallCaps w:val="0"/>
          <w:noProof/>
          <w:sz w:val="22"/>
          <w:lang w:val="en-US" w:eastAsia="en-US" w:bidi="ar-SA"/>
        </w:rPr>
      </w:pPr>
      <w:hyperlink w:anchor="_Toc54937055" w:history="1">
        <w:r w:rsidR="003960FC" w:rsidRPr="00A66580">
          <w:rPr>
            <w:rStyle w:val="Hyperlink"/>
            <w:noProof/>
          </w:rPr>
          <w:t>Microsoft Kaizala Pro</w:t>
        </w:r>
        <w:r w:rsidR="003960FC">
          <w:rPr>
            <w:noProof/>
            <w:webHidden/>
          </w:rPr>
          <w:tab/>
        </w:r>
        <w:r w:rsidR="003960FC">
          <w:rPr>
            <w:noProof/>
            <w:webHidden/>
          </w:rPr>
          <w:fldChar w:fldCharType="begin"/>
        </w:r>
        <w:r w:rsidR="003960FC">
          <w:rPr>
            <w:noProof/>
            <w:webHidden/>
          </w:rPr>
          <w:instrText xml:space="preserve"> PAGEREF _Toc54937055 \h </w:instrText>
        </w:r>
        <w:r w:rsidR="003960FC">
          <w:rPr>
            <w:noProof/>
            <w:webHidden/>
          </w:rPr>
        </w:r>
        <w:r w:rsidR="003960FC">
          <w:rPr>
            <w:noProof/>
            <w:webHidden/>
          </w:rPr>
          <w:fldChar w:fldCharType="separate"/>
        </w:r>
        <w:r w:rsidR="003960FC">
          <w:rPr>
            <w:noProof/>
            <w:webHidden/>
          </w:rPr>
          <w:t>20</w:t>
        </w:r>
        <w:r w:rsidR="003960FC">
          <w:rPr>
            <w:noProof/>
            <w:webHidden/>
          </w:rPr>
          <w:fldChar w:fldCharType="end"/>
        </w:r>
      </w:hyperlink>
    </w:p>
    <w:p w14:paraId="04698B6E" w14:textId="24DE9953" w:rsidR="003960FC" w:rsidRDefault="00DF4828">
      <w:pPr>
        <w:pStyle w:val="TOC4"/>
        <w:tabs>
          <w:tab w:val="right" w:leader="dot" w:pos="5030"/>
        </w:tabs>
        <w:rPr>
          <w:rFonts w:eastAsiaTheme="minorEastAsia"/>
          <w:smallCaps w:val="0"/>
          <w:noProof/>
          <w:sz w:val="22"/>
          <w:lang w:val="en-US" w:eastAsia="en-US" w:bidi="ar-SA"/>
        </w:rPr>
      </w:pPr>
      <w:hyperlink w:anchor="_Toc54937056" w:history="1">
        <w:r w:rsidR="003960FC" w:rsidRPr="00A66580">
          <w:rPr>
            <w:rStyle w:val="Hyperlink"/>
            <w:noProof/>
          </w:rPr>
          <w:t>Microsoft Power Apps</w:t>
        </w:r>
        <w:r w:rsidR="003960FC">
          <w:rPr>
            <w:noProof/>
            <w:webHidden/>
          </w:rPr>
          <w:tab/>
        </w:r>
        <w:r w:rsidR="003960FC">
          <w:rPr>
            <w:noProof/>
            <w:webHidden/>
          </w:rPr>
          <w:fldChar w:fldCharType="begin"/>
        </w:r>
        <w:r w:rsidR="003960FC">
          <w:rPr>
            <w:noProof/>
            <w:webHidden/>
          </w:rPr>
          <w:instrText xml:space="preserve"> PAGEREF _Toc54937056 \h </w:instrText>
        </w:r>
        <w:r w:rsidR="003960FC">
          <w:rPr>
            <w:noProof/>
            <w:webHidden/>
          </w:rPr>
        </w:r>
        <w:r w:rsidR="003960FC">
          <w:rPr>
            <w:noProof/>
            <w:webHidden/>
          </w:rPr>
          <w:fldChar w:fldCharType="separate"/>
        </w:r>
        <w:r w:rsidR="003960FC">
          <w:rPr>
            <w:noProof/>
            <w:webHidden/>
          </w:rPr>
          <w:t>20</w:t>
        </w:r>
        <w:r w:rsidR="003960FC">
          <w:rPr>
            <w:noProof/>
            <w:webHidden/>
          </w:rPr>
          <w:fldChar w:fldCharType="end"/>
        </w:r>
      </w:hyperlink>
    </w:p>
    <w:p w14:paraId="6016A0A6" w14:textId="326DFE93" w:rsidR="003960FC" w:rsidRDefault="00DF4828">
      <w:pPr>
        <w:pStyle w:val="TOC4"/>
        <w:tabs>
          <w:tab w:val="right" w:leader="dot" w:pos="5030"/>
        </w:tabs>
        <w:rPr>
          <w:rFonts w:eastAsiaTheme="minorEastAsia"/>
          <w:smallCaps w:val="0"/>
          <w:noProof/>
          <w:sz w:val="22"/>
          <w:lang w:val="en-US" w:eastAsia="en-US" w:bidi="ar-SA"/>
        </w:rPr>
      </w:pPr>
      <w:hyperlink w:anchor="_Toc54937057" w:history="1">
        <w:r w:rsidR="003960FC" w:rsidRPr="00A66580">
          <w:rPr>
            <w:rStyle w:val="Hyperlink"/>
            <w:noProof/>
          </w:rPr>
          <w:t>Minecraft: Education Edition</w:t>
        </w:r>
        <w:r w:rsidR="003960FC">
          <w:rPr>
            <w:noProof/>
            <w:webHidden/>
          </w:rPr>
          <w:tab/>
        </w:r>
        <w:r w:rsidR="003960FC">
          <w:rPr>
            <w:noProof/>
            <w:webHidden/>
          </w:rPr>
          <w:fldChar w:fldCharType="begin"/>
        </w:r>
        <w:r w:rsidR="003960FC">
          <w:rPr>
            <w:noProof/>
            <w:webHidden/>
          </w:rPr>
          <w:instrText xml:space="preserve"> PAGEREF _Toc54937057 \h </w:instrText>
        </w:r>
        <w:r w:rsidR="003960FC">
          <w:rPr>
            <w:noProof/>
            <w:webHidden/>
          </w:rPr>
        </w:r>
        <w:r w:rsidR="003960FC">
          <w:rPr>
            <w:noProof/>
            <w:webHidden/>
          </w:rPr>
          <w:fldChar w:fldCharType="separate"/>
        </w:r>
        <w:r w:rsidR="003960FC">
          <w:rPr>
            <w:noProof/>
            <w:webHidden/>
          </w:rPr>
          <w:t>21</w:t>
        </w:r>
        <w:r w:rsidR="003960FC">
          <w:rPr>
            <w:noProof/>
            <w:webHidden/>
          </w:rPr>
          <w:fldChar w:fldCharType="end"/>
        </w:r>
      </w:hyperlink>
    </w:p>
    <w:p w14:paraId="5F1DE827" w14:textId="27451248" w:rsidR="003960FC" w:rsidRDefault="00DF4828">
      <w:pPr>
        <w:pStyle w:val="TOC4"/>
        <w:tabs>
          <w:tab w:val="right" w:leader="dot" w:pos="5030"/>
        </w:tabs>
        <w:rPr>
          <w:rFonts w:eastAsiaTheme="minorEastAsia"/>
          <w:smallCaps w:val="0"/>
          <w:noProof/>
          <w:sz w:val="22"/>
          <w:lang w:val="en-US" w:eastAsia="en-US" w:bidi="ar-SA"/>
        </w:rPr>
      </w:pPr>
      <w:hyperlink w:anchor="_Toc54937058" w:history="1">
        <w:r w:rsidR="003960FC" w:rsidRPr="00A66580">
          <w:rPr>
            <w:rStyle w:val="Hyperlink"/>
            <w:noProof/>
          </w:rPr>
          <w:t>Z usługą Power BI</w:t>
        </w:r>
        <w:r w:rsidR="003960FC">
          <w:rPr>
            <w:noProof/>
            <w:webHidden/>
          </w:rPr>
          <w:tab/>
        </w:r>
        <w:r w:rsidR="003960FC">
          <w:rPr>
            <w:noProof/>
            <w:webHidden/>
          </w:rPr>
          <w:fldChar w:fldCharType="begin"/>
        </w:r>
        <w:r w:rsidR="003960FC">
          <w:rPr>
            <w:noProof/>
            <w:webHidden/>
          </w:rPr>
          <w:instrText xml:space="preserve"> PAGEREF _Toc54937058 \h </w:instrText>
        </w:r>
        <w:r w:rsidR="003960FC">
          <w:rPr>
            <w:noProof/>
            <w:webHidden/>
          </w:rPr>
        </w:r>
        <w:r w:rsidR="003960FC">
          <w:rPr>
            <w:noProof/>
            <w:webHidden/>
          </w:rPr>
          <w:fldChar w:fldCharType="separate"/>
        </w:r>
        <w:r w:rsidR="003960FC">
          <w:rPr>
            <w:noProof/>
            <w:webHidden/>
          </w:rPr>
          <w:t>22</w:t>
        </w:r>
        <w:r w:rsidR="003960FC">
          <w:rPr>
            <w:noProof/>
            <w:webHidden/>
          </w:rPr>
          <w:fldChar w:fldCharType="end"/>
        </w:r>
      </w:hyperlink>
    </w:p>
    <w:p w14:paraId="196016EF" w14:textId="6BE4C624" w:rsidR="003960FC" w:rsidRDefault="00DF4828">
      <w:pPr>
        <w:pStyle w:val="TOC4"/>
        <w:tabs>
          <w:tab w:val="right" w:leader="dot" w:pos="5030"/>
        </w:tabs>
        <w:rPr>
          <w:rFonts w:eastAsiaTheme="minorEastAsia"/>
          <w:smallCaps w:val="0"/>
          <w:noProof/>
          <w:sz w:val="22"/>
          <w:lang w:val="en-US" w:eastAsia="en-US" w:bidi="ar-SA"/>
        </w:rPr>
      </w:pPr>
      <w:hyperlink w:anchor="_Toc54937059" w:history="1">
        <w:r w:rsidR="003960FC" w:rsidRPr="00A66580">
          <w:rPr>
            <w:rStyle w:val="Hyperlink"/>
            <w:noProof/>
          </w:rPr>
          <w:t>Power BI Premium</w:t>
        </w:r>
        <w:r w:rsidR="003960FC">
          <w:rPr>
            <w:noProof/>
            <w:webHidden/>
          </w:rPr>
          <w:tab/>
        </w:r>
        <w:r w:rsidR="003960FC">
          <w:rPr>
            <w:noProof/>
            <w:webHidden/>
          </w:rPr>
          <w:fldChar w:fldCharType="begin"/>
        </w:r>
        <w:r w:rsidR="003960FC">
          <w:rPr>
            <w:noProof/>
            <w:webHidden/>
          </w:rPr>
          <w:instrText xml:space="preserve"> PAGEREF _Toc54937059 \h </w:instrText>
        </w:r>
        <w:r w:rsidR="003960FC">
          <w:rPr>
            <w:noProof/>
            <w:webHidden/>
          </w:rPr>
        </w:r>
        <w:r w:rsidR="003960FC">
          <w:rPr>
            <w:noProof/>
            <w:webHidden/>
          </w:rPr>
          <w:fldChar w:fldCharType="separate"/>
        </w:r>
        <w:r w:rsidR="003960FC">
          <w:rPr>
            <w:noProof/>
            <w:webHidden/>
          </w:rPr>
          <w:t>22</w:t>
        </w:r>
        <w:r w:rsidR="003960FC">
          <w:rPr>
            <w:noProof/>
            <w:webHidden/>
          </w:rPr>
          <w:fldChar w:fldCharType="end"/>
        </w:r>
      </w:hyperlink>
    </w:p>
    <w:p w14:paraId="165C7E7B" w14:textId="57F0A4B3" w:rsidR="003960FC" w:rsidRDefault="00DF4828">
      <w:pPr>
        <w:pStyle w:val="TOC4"/>
        <w:tabs>
          <w:tab w:val="right" w:leader="dot" w:pos="5030"/>
        </w:tabs>
        <w:rPr>
          <w:rFonts w:eastAsiaTheme="minorEastAsia"/>
          <w:smallCaps w:val="0"/>
          <w:noProof/>
          <w:sz w:val="22"/>
          <w:lang w:val="en-US" w:eastAsia="en-US" w:bidi="ar-SA"/>
        </w:rPr>
      </w:pPr>
      <w:hyperlink w:anchor="_Toc54937060" w:history="1">
        <w:r w:rsidR="003960FC" w:rsidRPr="00A66580">
          <w:rPr>
            <w:rStyle w:val="Hyperlink"/>
            <w:noProof/>
          </w:rPr>
          <w:t>Power BI Pro</w:t>
        </w:r>
        <w:r w:rsidR="003960FC">
          <w:rPr>
            <w:noProof/>
            <w:webHidden/>
          </w:rPr>
          <w:tab/>
        </w:r>
        <w:r w:rsidR="003960FC">
          <w:rPr>
            <w:noProof/>
            <w:webHidden/>
          </w:rPr>
          <w:fldChar w:fldCharType="begin"/>
        </w:r>
        <w:r w:rsidR="003960FC">
          <w:rPr>
            <w:noProof/>
            <w:webHidden/>
          </w:rPr>
          <w:instrText xml:space="preserve"> PAGEREF _Toc54937060 \h </w:instrText>
        </w:r>
        <w:r w:rsidR="003960FC">
          <w:rPr>
            <w:noProof/>
            <w:webHidden/>
          </w:rPr>
        </w:r>
        <w:r w:rsidR="003960FC">
          <w:rPr>
            <w:noProof/>
            <w:webHidden/>
          </w:rPr>
          <w:fldChar w:fldCharType="separate"/>
        </w:r>
        <w:r w:rsidR="003960FC">
          <w:rPr>
            <w:noProof/>
            <w:webHidden/>
          </w:rPr>
          <w:t>23</w:t>
        </w:r>
        <w:r w:rsidR="003960FC">
          <w:rPr>
            <w:noProof/>
            <w:webHidden/>
          </w:rPr>
          <w:fldChar w:fldCharType="end"/>
        </w:r>
      </w:hyperlink>
    </w:p>
    <w:p w14:paraId="756CFC3D" w14:textId="51091160" w:rsidR="003960FC" w:rsidRDefault="00DF4828">
      <w:pPr>
        <w:pStyle w:val="TOC4"/>
        <w:tabs>
          <w:tab w:val="right" w:leader="dot" w:pos="5030"/>
        </w:tabs>
        <w:rPr>
          <w:rFonts w:eastAsiaTheme="minorEastAsia"/>
          <w:smallCaps w:val="0"/>
          <w:noProof/>
          <w:sz w:val="22"/>
          <w:lang w:val="en-US" w:eastAsia="en-US" w:bidi="ar-SA"/>
        </w:rPr>
      </w:pPr>
      <w:hyperlink w:anchor="_Toc54937061" w:history="1">
        <w:r w:rsidR="003960FC" w:rsidRPr="00A66580">
          <w:rPr>
            <w:rStyle w:val="Hyperlink"/>
            <w:noProof/>
          </w:rPr>
          <w:t>Interfejs programowania aplikacji Translator</w:t>
        </w:r>
        <w:r w:rsidR="003960FC">
          <w:rPr>
            <w:noProof/>
            <w:webHidden/>
          </w:rPr>
          <w:tab/>
        </w:r>
        <w:r w:rsidR="003960FC">
          <w:rPr>
            <w:noProof/>
            <w:webHidden/>
          </w:rPr>
          <w:fldChar w:fldCharType="begin"/>
        </w:r>
        <w:r w:rsidR="003960FC">
          <w:rPr>
            <w:noProof/>
            <w:webHidden/>
          </w:rPr>
          <w:instrText xml:space="preserve"> PAGEREF _Toc54937061 \h </w:instrText>
        </w:r>
        <w:r w:rsidR="003960FC">
          <w:rPr>
            <w:noProof/>
            <w:webHidden/>
          </w:rPr>
        </w:r>
        <w:r w:rsidR="003960FC">
          <w:rPr>
            <w:noProof/>
            <w:webHidden/>
          </w:rPr>
          <w:fldChar w:fldCharType="separate"/>
        </w:r>
        <w:r w:rsidR="003960FC">
          <w:rPr>
            <w:noProof/>
            <w:webHidden/>
          </w:rPr>
          <w:t>23</w:t>
        </w:r>
        <w:r w:rsidR="003960FC">
          <w:rPr>
            <w:noProof/>
            <w:webHidden/>
          </w:rPr>
          <w:fldChar w:fldCharType="end"/>
        </w:r>
      </w:hyperlink>
    </w:p>
    <w:p w14:paraId="71159BE8" w14:textId="5FBAFCC8" w:rsidR="003960FC" w:rsidRDefault="00DF4828">
      <w:pPr>
        <w:pStyle w:val="TOC4"/>
        <w:tabs>
          <w:tab w:val="right" w:leader="dot" w:pos="5030"/>
        </w:tabs>
        <w:rPr>
          <w:rFonts w:eastAsiaTheme="minorEastAsia"/>
          <w:smallCaps w:val="0"/>
          <w:noProof/>
          <w:sz w:val="22"/>
          <w:lang w:val="en-US" w:eastAsia="en-US" w:bidi="ar-SA"/>
        </w:rPr>
      </w:pPr>
      <w:hyperlink w:anchor="_Toc54937062" w:history="1">
        <w:r w:rsidR="003960FC" w:rsidRPr="00A66580">
          <w:rPr>
            <w:rStyle w:val="Hyperlink"/>
            <w:noProof/>
          </w:rPr>
          <w:t>Microsoft Defender Advanced Threat Protection</w:t>
        </w:r>
        <w:r w:rsidR="003960FC">
          <w:rPr>
            <w:noProof/>
            <w:webHidden/>
          </w:rPr>
          <w:tab/>
        </w:r>
        <w:r w:rsidR="003960FC">
          <w:rPr>
            <w:noProof/>
            <w:webHidden/>
          </w:rPr>
          <w:fldChar w:fldCharType="begin"/>
        </w:r>
        <w:r w:rsidR="003960FC">
          <w:rPr>
            <w:noProof/>
            <w:webHidden/>
          </w:rPr>
          <w:instrText xml:space="preserve"> PAGEREF _Toc54937062 \h </w:instrText>
        </w:r>
        <w:r w:rsidR="003960FC">
          <w:rPr>
            <w:noProof/>
            <w:webHidden/>
          </w:rPr>
        </w:r>
        <w:r w:rsidR="003960FC">
          <w:rPr>
            <w:noProof/>
            <w:webHidden/>
          </w:rPr>
          <w:fldChar w:fldCharType="separate"/>
        </w:r>
        <w:r w:rsidR="003960FC">
          <w:rPr>
            <w:noProof/>
            <w:webHidden/>
          </w:rPr>
          <w:t>23</w:t>
        </w:r>
        <w:r w:rsidR="003960FC">
          <w:rPr>
            <w:noProof/>
            <w:webHidden/>
          </w:rPr>
          <w:fldChar w:fldCharType="end"/>
        </w:r>
      </w:hyperlink>
    </w:p>
    <w:p w14:paraId="650AF4E9" w14:textId="7423A789" w:rsidR="003960FC" w:rsidRDefault="00DF4828">
      <w:pPr>
        <w:pStyle w:val="TOC1"/>
        <w:tabs>
          <w:tab w:val="right" w:leader="dot" w:pos="5030"/>
        </w:tabs>
        <w:rPr>
          <w:rFonts w:eastAsiaTheme="minorEastAsia"/>
          <w:b w:val="0"/>
          <w:caps w:val="0"/>
          <w:noProof/>
          <w:sz w:val="22"/>
          <w:lang w:val="en-US" w:eastAsia="en-US" w:bidi="ar-SA"/>
        </w:rPr>
      </w:pPr>
      <w:hyperlink w:anchor="_Toc54937063" w:history="1">
        <w:r w:rsidR="003960FC" w:rsidRPr="00A66580">
          <w:rPr>
            <w:rStyle w:val="Hyperlink"/>
            <w:noProof/>
          </w:rPr>
          <w:t>Załącznik A – Zadeklarowanie Poziomu Usługi w Zakresie Wykrywania i Blokowania Wirusów, Efektywności Filtrów Antyspamowych i Fałszywych Trafień Pozytywnych</w:t>
        </w:r>
        <w:r w:rsidR="003960FC">
          <w:rPr>
            <w:noProof/>
            <w:webHidden/>
          </w:rPr>
          <w:tab/>
        </w:r>
        <w:r w:rsidR="003960FC">
          <w:rPr>
            <w:noProof/>
            <w:webHidden/>
          </w:rPr>
          <w:fldChar w:fldCharType="begin"/>
        </w:r>
        <w:r w:rsidR="003960FC">
          <w:rPr>
            <w:noProof/>
            <w:webHidden/>
          </w:rPr>
          <w:instrText xml:space="preserve"> PAGEREF _Toc54937063 \h </w:instrText>
        </w:r>
        <w:r w:rsidR="003960FC">
          <w:rPr>
            <w:noProof/>
            <w:webHidden/>
          </w:rPr>
        </w:r>
        <w:r w:rsidR="003960FC">
          <w:rPr>
            <w:noProof/>
            <w:webHidden/>
          </w:rPr>
          <w:fldChar w:fldCharType="separate"/>
        </w:r>
        <w:r w:rsidR="003960FC">
          <w:rPr>
            <w:noProof/>
            <w:webHidden/>
          </w:rPr>
          <w:t>25</w:t>
        </w:r>
        <w:r w:rsidR="003960FC">
          <w:rPr>
            <w:noProof/>
            <w:webHidden/>
          </w:rPr>
          <w:fldChar w:fldCharType="end"/>
        </w:r>
      </w:hyperlink>
    </w:p>
    <w:p w14:paraId="7062828E" w14:textId="68DA0440" w:rsidR="003960FC" w:rsidRDefault="00DF4828">
      <w:pPr>
        <w:pStyle w:val="TOC1"/>
        <w:tabs>
          <w:tab w:val="right" w:leader="dot" w:pos="5030"/>
        </w:tabs>
        <w:rPr>
          <w:rFonts w:eastAsiaTheme="minorEastAsia"/>
          <w:b w:val="0"/>
          <w:caps w:val="0"/>
          <w:noProof/>
          <w:sz w:val="22"/>
          <w:lang w:val="en-US" w:eastAsia="en-US" w:bidi="ar-SA"/>
        </w:rPr>
      </w:pPr>
      <w:hyperlink w:anchor="_Toc54937064" w:history="1">
        <w:r w:rsidR="003960FC" w:rsidRPr="00A66580">
          <w:rPr>
            <w:rStyle w:val="Hyperlink"/>
            <w:noProof/>
          </w:rPr>
          <w:t>Załącznik B – Zadeklarowanie Poziomu Usługi w Zakresie Czasu Nieprzerwanej Pracy i Dostarczania Poczty Elektronicznej</w:t>
        </w:r>
        <w:r w:rsidR="003960FC">
          <w:rPr>
            <w:noProof/>
            <w:webHidden/>
          </w:rPr>
          <w:tab/>
        </w:r>
        <w:r w:rsidR="003960FC">
          <w:rPr>
            <w:noProof/>
            <w:webHidden/>
          </w:rPr>
          <w:fldChar w:fldCharType="begin"/>
        </w:r>
        <w:r w:rsidR="003960FC">
          <w:rPr>
            <w:noProof/>
            <w:webHidden/>
          </w:rPr>
          <w:instrText xml:space="preserve"> PAGEREF _Toc54937064 \h </w:instrText>
        </w:r>
        <w:r w:rsidR="003960FC">
          <w:rPr>
            <w:noProof/>
            <w:webHidden/>
          </w:rPr>
        </w:r>
        <w:r w:rsidR="003960FC">
          <w:rPr>
            <w:noProof/>
            <w:webHidden/>
          </w:rPr>
          <w:fldChar w:fldCharType="separate"/>
        </w:r>
        <w:r w:rsidR="003960FC">
          <w:rPr>
            <w:noProof/>
            <w:webHidden/>
          </w:rPr>
          <w:t>27</w:t>
        </w:r>
        <w:r w:rsidR="003960FC">
          <w:rPr>
            <w:noProof/>
            <w:webHidden/>
          </w:rPr>
          <w:fldChar w:fldCharType="end"/>
        </w:r>
      </w:hyperlink>
    </w:p>
    <w:p w14:paraId="255FE481" w14:textId="0E3781B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4937013"/>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DA10E6" w:rsidRPr="003650D0" w14:paraId="4E7A2D60" w14:textId="77777777" w:rsidTr="00E8112E">
        <w:trPr>
          <w:tblHeader/>
        </w:trPr>
        <w:tc>
          <w:tcPr>
            <w:tcW w:w="5395" w:type="dxa"/>
            <w:shd w:val="clear" w:color="auto" w:fill="auto"/>
          </w:tcPr>
          <w:p w14:paraId="5FE9108C" w14:textId="70562CB7" w:rsidR="00DA10E6" w:rsidRPr="006D4DC5" w:rsidRDefault="00DA10E6" w:rsidP="00DA10E6">
            <w:pPr>
              <w:pStyle w:val="ProductList-OfferingBody"/>
              <w:rPr>
                <w:color w:val="000000" w:themeColor="text1"/>
              </w:rPr>
            </w:pPr>
          </w:p>
        </w:tc>
        <w:tc>
          <w:tcPr>
            <w:tcW w:w="5395" w:type="dxa"/>
            <w:shd w:val="clear" w:color="auto" w:fill="auto"/>
          </w:tcPr>
          <w:p w14:paraId="0B2CBDCE" w14:textId="77777777" w:rsidR="00DA10E6" w:rsidRPr="006D4DC5" w:rsidRDefault="00DA10E6" w:rsidP="00DA10E6">
            <w:pPr>
              <w:pStyle w:val="ProductList-OfferingBody"/>
              <w:rPr>
                <w:color w:val="000000" w:themeColor="text1"/>
              </w:rPr>
            </w:pPr>
          </w:p>
        </w:tc>
      </w:tr>
    </w:tbl>
    <w:p w14:paraId="302BCF65" w14:textId="77777777" w:rsidR="00DA10E6" w:rsidRPr="0059513D" w:rsidRDefault="00DA10E6" w:rsidP="00DA10E6">
      <w:pPr>
        <w:pStyle w:val="ProductList-Body"/>
      </w:pPr>
    </w:p>
    <w:p w14:paraId="402B95CA" w14:textId="5D024A77" w:rsidR="00104E80" w:rsidRDefault="00DF4828" w:rsidP="00104E80">
      <w:pPr>
        <w:pStyle w:val="ProductList-Body"/>
      </w:pPr>
      <w:hyperlink w:anchor="MicrosoftAzureServices" w:tooltip="Usługi Microsoft Azure i Plany Azure" w:history="1">
        <w:r w:rsidR="00E8112E">
          <w:rPr>
            <w:rStyle w:val="Hyperlink"/>
          </w:rPr>
          <w:t>Usługi Microsoft Azure i Plany Azure</w:t>
        </w:r>
      </w:hyperlink>
      <w:r w:rsidR="00E8112E">
        <w:t>: Szczególne postanowienia dotyczące Usług Azure zostaną udostępnione w formie łącza do odpowiedniej umowy SLA opublikowanej w witrynie Azure.com. Zmiana ta nie wpływa w żaden istotny sposób na postanowienia umowy SLA dotyczącej Usług Azure. Umowy SLA dotyczące usług Azure są od dawna publikowane w obu miejscach</w:t>
      </w:r>
      <w:r w:rsidR="00DA10E6">
        <w:t>.</w:t>
      </w:r>
    </w:p>
    <w:p w14:paraId="476D5C3E" w14:textId="491EF1E1" w:rsidR="0005587D" w:rsidRPr="00FB368F" w:rsidRDefault="00DF4828"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4937014"/>
      <w:bookmarkStart w:id="9" w:name="GeneralTerms"/>
      <w:r>
        <w:lastRenderedPageBreak/>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DF4828"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4937015"/>
      <w:bookmarkStart w:id="15" w:name="ServiceSpecificTerms"/>
      <w:r>
        <w:lastRenderedPageBreak/>
        <w:t>Postanowienia Dotyczące Danej Usługi</w:t>
      </w:r>
      <w:bookmarkEnd w:id="14"/>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4937016"/>
      <w:bookmarkEnd w:id="15"/>
      <w:r w:rsidRPr="007D5918">
        <w:rPr>
          <w:lang w:val="en-US"/>
        </w:rPr>
        <w:t>Microsoft Dynamics</w:t>
      </w:r>
      <w:bookmarkEnd w:id="16"/>
      <w:bookmarkEnd w:id="17"/>
      <w:r w:rsidRPr="007D5918">
        <w:rPr>
          <w:lang w:val="en-US"/>
        </w:rPr>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5493701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77777777" w:rsidR="00DC3818" w:rsidRPr="00C84C65" w:rsidRDefault="00DC3818" w:rsidP="00DC3818">
      <w:pPr>
        <w:pStyle w:val="ProductList-Body"/>
        <w:spacing w:after="120"/>
      </w:pPr>
      <w:r>
        <w:rPr>
          <w:b/>
          <w:color w:val="00188F"/>
        </w:rPr>
        <w:t>Przestój</w:t>
      </w:r>
      <w:r w:rsidRPr="00674B2C">
        <w:t>:</w:t>
      </w:r>
      <w:r>
        <w:t xml:space="preserve"> Dowolny okres, w którym użytkownicy końcowi nie mogą zalogować się do danego wystąpienia.</w:t>
      </w:r>
    </w:p>
    <w:p w14:paraId="4243D044"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DF4828"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DF4828"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54937018"/>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1E0431" w:rsidRDefault="00DC3818" w:rsidP="00DC3818">
      <w:pPr>
        <w:pStyle w:val="ProductList-Body"/>
        <w:rPr>
          <w:sz w:val="16"/>
          <w:szCs w:val="20"/>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DF4828"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1E0431" w:rsidRDefault="00DC3818" w:rsidP="00DC3818">
      <w:pPr>
        <w:pStyle w:val="ProductList-Body"/>
        <w:rPr>
          <w:sz w:val="16"/>
          <w:szCs w:val="20"/>
        </w:rPr>
      </w:pPr>
    </w:p>
    <w:p w14:paraId="4374A0E3"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lastRenderedPageBreak/>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DF4828"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54937019"/>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DF4828"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DF4828"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54937020"/>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DF4828"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7021"/>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DF4828"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DF4828"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0" w:name="_Toc54937022"/>
      <w:r w:rsidRPr="007D5918">
        <w:rPr>
          <w:lang w:val="en-US"/>
        </w:rPr>
        <w:t xml:space="preserve">Dynamics 365 </w:t>
      </w:r>
      <w:r>
        <w:t>Human Resources</w:t>
      </w:r>
      <w:bookmarkEnd w:id="40"/>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1E0431" w:rsidRDefault="00DC3818" w:rsidP="00DC3818">
      <w:pPr>
        <w:pStyle w:val="ProductList-Body"/>
        <w:rPr>
          <w:sz w:val="16"/>
          <w:szCs w:val="20"/>
        </w:rPr>
      </w:pPr>
    </w:p>
    <w:p w14:paraId="2DDECE19" w14:textId="77777777" w:rsidR="00DC3818" w:rsidRPr="00DE201A" w:rsidRDefault="00DC3818" w:rsidP="00DC3818">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7955226"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DF4828"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1E0431" w:rsidRDefault="00DC3818" w:rsidP="00DC3818">
      <w:pPr>
        <w:pStyle w:val="ProductList-Body"/>
        <w:rPr>
          <w:sz w:val="10"/>
          <w:szCs w:val="14"/>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DF4828"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7023"/>
      <w:r>
        <w:t>Dynamics 365 Remote Assist</w:t>
      </w:r>
      <w:bookmarkEnd w:id="41"/>
      <w:bookmarkEnd w:id="42"/>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4AB58B3D" w14:textId="77777777"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DF4828"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4449ED">
      <w:pPr>
        <w:pStyle w:val="ProductList-Body"/>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E8112E">
            <w:pPr>
              <w:pStyle w:val="ProductList-OfferingBody"/>
              <w:keepNext/>
              <w:jc w:val="center"/>
            </w:pPr>
            <w:r>
              <w:lastRenderedPageBreak/>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DF4828"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3" w:name="_Toc54937024"/>
      <w:r w:rsidRPr="007D5918">
        <w:rPr>
          <w:lang w:val="en-US"/>
        </w:rPr>
        <w:t>Dynamics 365 Sales Enterprise; Dynamics 365 Sales Professional</w:t>
      </w:r>
      <w:bookmarkEnd w:id="43"/>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DF4828"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DF4828"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4" w:name="_Toc54937025"/>
      <w:r w:rsidRPr="007D5918">
        <w:rPr>
          <w:lang w:val="en-US"/>
        </w:rPr>
        <w:t xml:space="preserve">Dynamics 365 </w:t>
      </w:r>
      <w:bookmarkStart w:id="45" w:name="_Hlk19533710"/>
      <w:bookmarkEnd w:id="37"/>
      <w:bookmarkEnd w:id="38"/>
      <w:bookmarkEnd w:id="39"/>
      <w:r w:rsidR="00C77BDC" w:rsidRPr="0022548E">
        <w:t>Supply Chain Management; Dynamics 365 Finance</w:t>
      </w:r>
      <w:bookmarkStart w:id="46" w:name="_Hlk51044510"/>
      <w:bookmarkEnd w:id="45"/>
      <w:r w:rsidR="004F0FB8" w:rsidRPr="004F0FB8">
        <w:rPr>
          <w:lang w:val="en-US"/>
        </w:rPr>
        <w:t>; Dynamics 365 Project Operations</w:t>
      </w:r>
      <w:bookmarkEnd w:id="44"/>
      <w:bookmarkEnd w:id="46"/>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DF4828"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2" w:name="_Toc54937026"/>
      <w:bookmarkEnd w:id="47"/>
      <w:bookmarkEnd w:id="48"/>
      <w:bookmarkEnd w:id="49"/>
      <w:bookmarkEnd w:id="50"/>
      <w:bookmarkEnd w:id="51"/>
      <w:r>
        <w:t>Usługi Office 365</w:t>
      </w:r>
      <w:bookmarkEnd w:id="52"/>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3" w:name="_Toc54937027"/>
      <w:r>
        <w:t>Duet Enterprise Online</w:t>
      </w:r>
      <w:bookmarkEnd w:id="53"/>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4" w:name="_Toc54937028"/>
      <w:r>
        <w:t>Exchange Online</w:t>
      </w:r>
      <w:bookmarkEnd w:id="54"/>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lastRenderedPageBreak/>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5" w:name="_Toc54937029"/>
      <w:r>
        <w:t>Exchange Online Archiving</w:t>
      </w:r>
      <w:bookmarkEnd w:id="55"/>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6" w:name="_Toc54937030"/>
      <w:r w:rsidRPr="00AB2382">
        <w:t>Exchange Online Protection</w:t>
      </w:r>
      <w:bookmarkEnd w:id="56"/>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E7208F">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57" w:name="_Toc525207098"/>
    <w:bookmarkStart w:id="58"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E8112E">
      <w:pPr>
        <w:pStyle w:val="ProductList-Offering2Heading"/>
        <w:keepNext/>
        <w:outlineLvl w:val="2"/>
      </w:pPr>
      <w:bookmarkStart w:id="59" w:name="_Toc54937031"/>
      <w:r>
        <w:lastRenderedPageBreak/>
        <w:t xml:space="preserve">Microsoft </w:t>
      </w:r>
      <w:bookmarkEnd w:id="57"/>
      <w:r>
        <w:t>MyAnalytics</w:t>
      </w:r>
      <w:bookmarkEnd w:id="58"/>
      <w:bookmarkEnd w:id="59"/>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DD03C32" w14:textId="77777777"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0" w:name="_Toc480808180"/>
    <w:bookmarkStart w:id="61" w:name="Stream"/>
    <w:bookmarkStart w:id="62" w:name="_Toc525207099"/>
    <w:bookmarkStart w:id="63"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4" w:name="_Toc54937032"/>
      <w:r>
        <w:t>Microsoft Stream</w:t>
      </w:r>
      <w:bookmarkEnd w:id="60"/>
      <w:bookmarkEnd w:id="64"/>
    </w:p>
    <w:bookmarkEnd w:id="61"/>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5" w:name="_Toc54937033"/>
      <w:r>
        <w:t xml:space="preserve">Microsoft </w:t>
      </w:r>
      <w:bookmarkEnd w:id="62"/>
      <w:r>
        <w:t>Teams</w:t>
      </w:r>
      <w:bookmarkEnd w:id="63"/>
      <w:bookmarkEnd w:id="65"/>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E7208F">
      <w:pPr>
        <w:pStyle w:val="ProductList-Body"/>
      </w:pPr>
    </w:p>
    <w:p w14:paraId="045BBA8B" w14:textId="77777777" w:rsidR="0041569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E8112E">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6" w:name="_Hlk37926720"/>
      <w:bookmarkStart w:id="67" w:name="_Toc54937034"/>
      <w:r>
        <w:t xml:space="preserve">Microsoft 365 Apps for </w:t>
      </w:r>
      <w:r w:rsidR="007777D8">
        <w:t>b</w:t>
      </w:r>
      <w:r>
        <w:t>usiness</w:t>
      </w:r>
      <w:bookmarkEnd w:id="66"/>
      <w:bookmarkEnd w:id="67"/>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68" w:name="_Toc477262542"/>
    <w:bookmarkStart w:id="69" w:name="_Toc457821517"/>
    <w:bookmarkStart w:id="70"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1" w:name="_Hlk37926721"/>
      <w:bookmarkStart w:id="72" w:name="_Toc54937035"/>
      <w:bookmarkEnd w:id="68"/>
      <w:bookmarkEnd w:id="69"/>
      <w:bookmarkEnd w:id="70"/>
      <w:r>
        <w:t>Microsoft 365 Apps for enterprise</w:t>
      </w:r>
      <w:bookmarkEnd w:id="71"/>
      <w:bookmarkEnd w:id="72"/>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D11627">
      <w:pPr>
        <w:pStyle w:val="ProductList-Offering2Heading"/>
        <w:outlineLvl w:val="2"/>
      </w:pPr>
      <w:bookmarkStart w:id="73" w:name="_Toc54937036"/>
      <w:r>
        <w:t>Office 365 Advanced Compliance</w:t>
      </w:r>
      <w:bookmarkEnd w:id="73"/>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DF4828"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lastRenderedPageBreak/>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DF4828"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4" w:name="_Toc54937037"/>
      <w:r>
        <w:t>Office Online</w:t>
      </w:r>
      <w:bookmarkEnd w:id="74"/>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E7208F">
      <w:pPr>
        <w:pStyle w:val="ProductList-Body"/>
        <w:rPr>
          <w:sz w:val="14"/>
          <w:szCs w:val="14"/>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E7208F">
      <w:pPr>
        <w:pStyle w:val="ProductList-Body"/>
        <w:rPr>
          <w:sz w:val="14"/>
          <w:szCs w:val="14"/>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5" w:name="_Toc54937038"/>
      <w:r>
        <w:t>Wideo Office 365</w:t>
      </w:r>
      <w:bookmarkEnd w:id="75"/>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E7208F">
      <w:pPr>
        <w:pStyle w:val="ProductList-Body"/>
        <w:rPr>
          <w:sz w:val="14"/>
          <w:szCs w:val="14"/>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E7208F">
      <w:pPr>
        <w:pStyle w:val="ProductList-Body"/>
        <w:rPr>
          <w:sz w:val="14"/>
          <w:szCs w:val="14"/>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E7208F">
      <w:pPr>
        <w:pStyle w:val="ProductList-Offering2Heading"/>
      </w:pPr>
      <w:bookmarkStart w:id="76" w:name="_Toc54937039"/>
      <w:r>
        <w:t>OneDrive for Business</w:t>
      </w:r>
      <w:bookmarkEnd w:id="76"/>
    </w:p>
    <w:p w14:paraId="46FE7562" w14:textId="069A3017"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E7208F">
      <w:pPr>
        <w:pStyle w:val="ProductList-Body"/>
        <w:rPr>
          <w:sz w:val="14"/>
          <w:szCs w:val="14"/>
        </w:rPr>
      </w:pPr>
    </w:p>
    <w:p w14:paraId="6DEA7661" w14:textId="64338499" w:rsidR="000C13D4" w:rsidRPr="00FB368F" w:rsidRDefault="000C13D4" w:rsidP="00E8112E">
      <w:pPr>
        <w:pStyle w:val="ProductList-Body"/>
        <w:keepNext/>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E8112E">
      <w:pPr>
        <w:pStyle w:val="ProductList-Body"/>
        <w:keepNext/>
        <w:rPr>
          <w:szCs w:val="14"/>
        </w:rPr>
      </w:pPr>
    </w:p>
    <w:p w14:paraId="76BB190F" w14:textId="1963D7DD" w:rsidR="000C13D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E7208F">
      <w:pPr>
        <w:pStyle w:val="ProductList-Body"/>
        <w:rPr>
          <w:sz w:val="14"/>
          <w:szCs w:val="14"/>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77" w:name="_Toc54937040"/>
      <w:r>
        <w:t>Project</w:t>
      </w:r>
      <w:bookmarkEnd w:id="77"/>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591818">
            <w:pPr>
              <w:pStyle w:val="ProductList-OfferingBody"/>
              <w:keepNext/>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78" w:name="_Toc54937041"/>
      <w:r>
        <w:t>SharePoint Online</w:t>
      </w:r>
      <w:bookmarkEnd w:id="78"/>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E7208F">
            <w:pPr>
              <w:pStyle w:val="ProductList-OfferingBody"/>
              <w:keepNext/>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79" w:name="_Toc54937042"/>
      <w:r>
        <w:t>Skype dla firm Online</w:t>
      </w:r>
      <w:bookmarkEnd w:id="79"/>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DA10E6">
      <w:pPr>
        <w:pStyle w:val="ProductList-Body"/>
        <w:keepNext/>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A0B8BDB" w14:textId="6E5AF6C9"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0" w:name="_Toc457821525"/>
    <w:bookmarkStart w:id="81" w:name="_Toc526859637"/>
    <w:bookmarkStart w:id="82"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3" w:name="_Toc54937043"/>
      <w:r>
        <w:t xml:space="preserve">Pakiety telefoniczne i konferencje głosowe w oprogramowaniu </w:t>
      </w:r>
      <w:bookmarkEnd w:id="80"/>
      <w:bookmarkEnd w:id="81"/>
      <w:bookmarkEnd w:id="82"/>
      <w:r w:rsidR="003C5DCA">
        <w:t>Microsoft Teams</w:t>
      </w:r>
      <w:bookmarkEnd w:id="83"/>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DF4828"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t>&lt; 95%</w:t>
            </w:r>
          </w:p>
        </w:tc>
        <w:tc>
          <w:tcPr>
            <w:tcW w:w="5400" w:type="dxa"/>
          </w:tcPr>
          <w:p w14:paraId="254DA485" w14:textId="77777777" w:rsidR="00BA21F8" w:rsidRPr="0076238C" w:rsidRDefault="00BA21F8" w:rsidP="00E7208F">
            <w:pPr>
              <w:pStyle w:val="ProductList-OfferingBody"/>
              <w:jc w:val="center"/>
            </w:pPr>
            <w:r>
              <w:t>100%</w:t>
            </w:r>
          </w:p>
        </w:tc>
      </w:tr>
    </w:tbl>
    <w:bookmarkStart w:id="84"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5" w:name="_Toc54937044"/>
      <w:r>
        <w:t xml:space="preserve">Jakość głosu w oprogramowaniu </w:t>
      </w:r>
      <w:bookmarkEnd w:id="84"/>
      <w:r w:rsidR="003C5DCA">
        <w:t>Microsoft Teams</w:t>
      </w:r>
      <w:bookmarkEnd w:id="85"/>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DF4828"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6" w:name="_Toc487138021"/>
    <w:bookmarkStart w:id="87"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88" w:name="_Toc54937045"/>
      <w:r>
        <w:t>Usługa Workplace Analytics</w:t>
      </w:r>
      <w:bookmarkEnd w:id="88"/>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6"/>
    <w:bookmarkEnd w:id="87"/>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89" w:name="_Toc54937046"/>
      <w:r>
        <w:t>Yammer Enterprise</w:t>
      </w:r>
      <w:bookmarkEnd w:id="89"/>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0" w:name="_Toc52348915"/>
      <w:bookmarkStart w:id="91" w:name="_Toc54937047"/>
      <w:bookmarkStart w:id="92" w:name="MicrosoftAzureServices"/>
      <w:r>
        <w:t>Usługi Microsoft Azure</w:t>
      </w:r>
      <w:bookmarkEnd w:id="90"/>
      <w:r>
        <w:t xml:space="preserve"> i Plany Azure</w:t>
      </w:r>
      <w:bookmarkEnd w:id="91"/>
    </w:p>
    <w:bookmarkEnd w:id="92"/>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3" w:name="_Toc54937048"/>
      <w:r>
        <w:t>Inne usługi online</w:t>
      </w:r>
      <w:bookmarkEnd w:id="93"/>
    </w:p>
    <w:p w14:paraId="3CFAB22E" w14:textId="77777777" w:rsidR="004F0FB8" w:rsidRPr="00552D87" w:rsidRDefault="004F0FB8" w:rsidP="004F0FB8">
      <w:pPr>
        <w:pStyle w:val="ProductList-Offering2Heading"/>
        <w:tabs>
          <w:tab w:val="clear" w:pos="360"/>
          <w:tab w:val="clear" w:pos="720"/>
          <w:tab w:val="clear" w:pos="1080"/>
        </w:tabs>
        <w:outlineLvl w:val="2"/>
      </w:pPr>
      <w:bookmarkStart w:id="94" w:name="_Toc54937049"/>
      <w:r>
        <w:t>Zaawansowana ochrona przed zagrożeniami w usłudze Azure</w:t>
      </w:r>
      <w:bookmarkEnd w:id="94"/>
    </w:p>
    <w:p w14:paraId="789271B0" w14:textId="77777777" w:rsidR="004F0FB8" w:rsidRPr="00552D87" w:rsidRDefault="004F0FB8" w:rsidP="004F0FB8">
      <w:pPr>
        <w:pStyle w:val="ProductList-Body"/>
      </w:pPr>
      <w:r>
        <w:rPr>
          <w:b/>
          <w:color w:val="00188F"/>
        </w:rPr>
        <w:t>Dodatkowe definicje</w:t>
      </w:r>
      <w:r w:rsidRPr="007C25D2">
        <w:rPr>
          <w:b/>
          <w:bCs/>
        </w:rPr>
        <w:t>:</w:t>
      </w:r>
    </w:p>
    <w:p w14:paraId="25206B1E" w14:textId="77777777" w:rsidR="004F0FB8" w:rsidRPr="00B46E76" w:rsidRDefault="004F0FB8" w:rsidP="004F0FB8">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67BA333D" w14:textId="77777777"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DF4828"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DF4828"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5" w:name="_Toc54937050"/>
      <w:r>
        <w:t>Bing Maps Enterprise Platform</w:t>
      </w:r>
      <w:bookmarkEnd w:id="95"/>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E7208F">
      <w:pPr>
        <w:pStyle w:val="ProductList-Body"/>
        <w:rPr>
          <w:sz w:val="16"/>
          <w:szCs w:val="16"/>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E7208F">
      <w:pPr>
        <w:pStyle w:val="ProductList-Body"/>
        <w:rPr>
          <w:sz w:val="16"/>
          <w:szCs w:val="16"/>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9019F" w:rsidRDefault="001E0407" w:rsidP="00E7208F">
      <w:pPr>
        <w:pStyle w:val="ProductList-Body"/>
        <w:rPr>
          <w:sz w:val="16"/>
          <w:szCs w:val="16"/>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E7208F">
      <w:pPr>
        <w:pStyle w:val="ProductList-Body"/>
        <w:rPr>
          <w:sz w:val="16"/>
          <w:szCs w:val="16"/>
        </w:rPr>
      </w:pPr>
    </w:p>
    <w:p w14:paraId="084D7DBE" w14:textId="239F6B02" w:rsidR="001E0407" w:rsidRPr="00FB368F" w:rsidRDefault="00515EF4" w:rsidP="00E7208F">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96"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97" w:name="_Toc54937051"/>
      <w:r>
        <w:t>Usługa Bing Maps Mobile Asset Management</w:t>
      </w:r>
      <w:bookmarkEnd w:id="96"/>
      <w:bookmarkEnd w:id="97"/>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E7208F">
      <w:pPr>
        <w:pStyle w:val="ProductList-Body"/>
        <w:rPr>
          <w:sz w:val="16"/>
          <w:szCs w:val="16"/>
        </w:rPr>
      </w:pPr>
    </w:p>
    <w:p w14:paraId="10C2AC36" w14:textId="2C989E37" w:rsidR="00FD7891" w:rsidRPr="00FB368F" w:rsidRDefault="00FD7891" w:rsidP="00DA10E6">
      <w:pPr>
        <w:pStyle w:val="ProductList-Body"/>
        <w:keepNext/>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DA10E6">
      <w:pPr>
        <w:pStyle w:val="ProductList-Body"/>
        <w:keepNext/>
        <w:rPr>
          <w:sz w:val="16"/>
          <w:szCs w:val="16"/>
        </w:rPr>
      </w:pPr>
    </w:p>
    <w:p w14:paraId="3D1C7AD3" w14:textId="6C83CD6E" w:rsidR="00FD7891"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E7208F">
      <w:pPr>
        <w:pStyle w:val="ProductList-Body"/>
        <w:rPr>
          <w:sz w:val="16"/>
          <w:szCs w:val="16"/>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9019F" w:rsidRDefault="00FD7891" w:rsidP="00E7208F">
      <w:pPr>
        <w:pStyle w:val="ProductList-Body"/>
        <w:rPr>
          <w:sz w:val="16"/>
          <w:szCs w:val="16"/>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E7208F">
      <w:pPr>
        <w:pStyle w:val="ProductList-Body"/>
        <w:rPr>
          <w:sz w:val="16"/>
          <w:szCs w:val="16"/>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5" w:name="_Toc54937052"/>
      <w:r>
        <w:t>Microsoft Cloud App Security</w:t>
      </w:r>
      <w:bookmarkEnd w:id="98"/>
      <w:bookmarkEnd w:id="99"/>
      <w:bookmarkEnd w:id="105"/>
    </w:p>
    <w:p w14:paraId="4785D9ED" w14:textId="77777777" w:rsidR="00BD602E" w:rsidRPr="00A94906" w:rsidRDefault="00BD602E" w:rsidP="00E7208F">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E7208F">
      <w:pPr>
        <w:pStyle w:val="ProductList-Body"/>
        <w:spacing w:after="40"/>
      </w:pPr>
    </w:p>
    <w:p w14:paraId="0CD99076" w14:textId="5A12DEA5" w:rsidR="00BD602E" w:rsidRDefault="00BD602E"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DF4828"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06" w:name="_Toc54937053"/>
      <w:r>
        <w:t xml:space="preserve">Microsoft </w:t>
      </w:r>
      <w:bookmarkEnd w:id="100"/>
      <w:r w:rsidR="00E7208F">
        <w:t>Power Automate</w:t>
      </w:r>
      <w:bookmarkEnd w:id="106"/>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6C31A4"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4139ADE3" w14:textId="312150E5"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07" w:name="_Toc54937054"/>
      <w:r>
        <w:t>Microsoft Intune</w:t>
      </w:r>
      <w:bookmarkEnd w:id="101"/>
      <w:bookmarkEnd w:id="102"/>
      <w:bookmarkEnd w:id="107"/>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DF4828"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08"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09" w:name="_Toc54937055"/>
      <w:r>
        <w:t>Microsoft Kaizala Pro</w:t>
      </w:r>
      <w:bookmarkEnd w:id="109"/>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0" w:name="_Toc54937056"/>
      <w:r>
        <w:t>Microsoft Power</w:t>
      </w:r>
      <w:r w:rsidR="00A839EE">
        <w:t xml:space="preserve"> </w:t>
      </w:r>
      <w:r>
        <w:t>Apps</w:t>
      </w:r>
      <w:bookmarkEnd w:id="108"/>
      <w:bookmarkEnd w:id="110"/>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00420732" w14:textId="77777777"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514C8C" w:rsidRDefault="00592937" w:rsidP="00592937">
      <w:pPr>
        <w:shd w:val="clear" w:color="auto" w:fill="FFFFFF"/>
        <w:spacing w:after="0" w:line="240" w:lineRule="auto"/>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514C8C" w:rsidRDefault="00592937" w:rsidP="00592937">
      <w:pPr>
        <w:shd w:val="clear" w:color="auto" w:fill="FFFFFF"/>
        <w:spacing w:after="0" w:line="240" w:lineRule="auto"/>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514C8C" w:rsidRDefault="00592937" w:rsidP="00592937">
      <w:pPr>
        <w:tabs>
          <w:tab w:val="left" w:pos="360"/>
          <w:tab w:val="left" w:pos="720"/>
          <w:tab w:val="left" w:pos="1080"/>
        </w:tabs>
        <w:spacing w:after="0" w:line="240" w:lineRule="auto"/>
      </w:pPr>
    </w:p>
    <w:p w14:paraId="45617C9B" w14:textId="77777777" w:rsidR="00592937" w:rsidRPr="006960EE" w:rsidRDefault="00DF4828"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47F611FC"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DF4828"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2" w:name="_Toc54937057"/>
      <w:r w:rsidRPr="00AB2382">
        <w:t>Minecraft: Education Edition</w:t>
      </w:r>
      <w:bookmarkEnd w:id="103"/>
      <w:bookmarkEnd w:id="112"/>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7208F">
      <w:pPr>
        <w:pStyle w:val="ProductList-Body"/>
      </w:pPr>
    </w:p>
    <w:p w14:paraId="2535A835" w14:textId="77777777" w:rsidR="00E84F3C"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3" w:name="_Toc54937058"/>
      <w:r>
        <w:t>Z usługą Power BI</w:t>
      </w:r>
      <w:bookmarkEnd w:id="104"/>
      <w:bookmarkEnd w:id="113"/>
    </w:p>
    <w:p w14:paraId="13CC924C" w14:textId="1064ADE0" w:rsidR="00B64D22" w:rsidRPr="00B46E76" w:rsidRDefault="00B64D22" w:rsidP="00E7208F">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E7208F">
      <w:pPr>
        <w:shd w:val="clear" w:color="auto" w:fill="FFFFFF"/>
        <w:spacing w:after="0" w:line="240" w:lineRule="auto"/>
        <w:rPr>
          <w:sz w:val="18"/>
          <w:szCs w:val="18"/>
        </w:rPr>
      </w:pPr>
    </w:p>
    <w:p w14:paraId="0AD655CF" w14:textId="2A4A7CE8" w:rsidR="00B64D22" w:rsidRPr="00944E55" w:rsidRDefault="00754DA4" w:rsidP="00E7208F">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E7208F">
      <w:pPr>
        <w:pStyle w:val="ProductList-Body"/>
      </w:pPr>
    </w:p>
    <w:p w14:paraId="23875AD2" w14:textId="627AEBCE" w:rsidR="00B64D22" w:rsidRPr="00944E55" w:rsidRDefault="00B64D22" w:rsidP="00E7208F">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E7208F">
      <w:pPr>
        <w:pStyle w:val="ProductList-Body"/>
      </w:pPr>
    </w:p>
    <w:p w14:paraId="04043AB6" w14:textId="161D92C1" w:rsidR="00B64D22" w:rsidRDefault="00B64D22" w:rsidP="00E7208F">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E7208F">
      <w:pPr>
        <w:pStyle w:val="ProductList-Body"/>
      </w:pPr>
    </w:p>
    <w:p w14:paraId="314D0F6A" w14:textId="77777777" w:rsidR="00B64D22" w:rsidRPr="00B46E76" w:rsidRDefault="00DF4828" w:rsidP="00E7208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E7208F">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4"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5" w:name="_Toc54937059"/>
      <w:r>
        <w:t>Power BI Premium</w:t>
      </w:r>
      <w:bookmarkEnd w:id="114"/>
      <w:bookmarkEnd w:id="115"/>
    </w:p>
    <w:p w14:paraId="498A95BF" w14:textId="77777777" w:rsidR="00EE22B7" w:rsidRPr="00DE201A" w:rsidRDefault="00EE22B7" w:rsidP="00E7208F">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7208F">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7208F">
      <w:pPr>
        <w:pStyle w:val="ProductList-Body"/>
      </w:pPr>
    </w:p>
    <w:p w14:paraId="2C019826" w14:textId="77777777" w:rsidR="00EE22B7" w:rsidRPr="00DE201A" w:rsidRDefault="00EE22B7" w:rsidP="00E7208F">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7208F">
      <w:pPr>
        <w:pStyle w:val="ProductList-Body"/>
      </w:pPr>
    </w:p>
    <w:p w14:paraId="546F5D70" w14:textId="24B0EA99" w:rsidR="00EE22B7" w:rsidRDefault="00EE22B7" w:rsidP="00E7208F">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E7208F">
      <w:pPr>
        <w:pStyle w:val="ProductList-Body"/>
      </w:pPr>
    </w:p>
    <w:p w14:paraId="4F60860D" w14:textId="77777777" w:rsidR="00EE22B7" w:rsidRPr="006A17F1" w:rsidRDefault="00DF4828" w:rsidP="00E7208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7208F">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DA10E6">
      <w:pPr>
        <w:pStyle w:val="ProductList-Offering2Heading"/>
        <w:pageBreakBefore/>
        <w:tabs>
          <w:tab w:val="clear" w:pos="360"/>
          <w:tab w:val="clear" w:pos="720"/>
          <w:tab w:val="clear" w:pos="1080"/>
        </w:tabs>
        <w:outlineLvl w:val="2"/>
      </w:pPr>
      <w:bookmarkStart w:id="116" w:name="_Toc54937060"/>
      <w:r w:rsidRPr="00BC54F2">
        <w:t xml:space="preserve">Power BI </w:t>
      </w:r>
      <w:r w:rsidR="008F09A9" w:rsidRPr="00BC54F2">
        <w:t>Pro</w:t>
      </w:r>
      <w:bookmarkEnd w:id="116"/>
    </w:p>
    <w:p w14:paraId="1FA2333B" w14:textId="6F32E223" w:rsidR="00515EF4" w:rsidRPr="00FB368F" w:rsidRDefault="00515EF4" w:rsidP="00DA10E6">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E7208F">
      <w:pPr>
        <w:pStyle w:val="ProductList-Body"/>
        <w:rPr>
          <w:sz w:val="16"/>
          <w:szCs w:val="16"/>
        </w:rPr>
      </w:pPr>
    </w:p>
    <w:p w14:paraId="49ECCD62" w14:textId="0E1A478A" w:rsidR="00515EF4" w:rsidRPr="00FB368F"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E7208F">
      <w:pPr>
        <w:pStyle w:val="ProductList-Body"/>
        <w:rPr>
          <w:szCs w:val="16"/>
        </w:rPr>
      </w:pPr>
    </w:p>
    <w:p w14:paraId="5A7E48F2" w14:textId="176CD360" w:rsidR="00515EF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E7208F">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E7208F">
      <w:pPr>
        <w:pStyle w:val="ProductList-Body"/>
        <w:rPr>
          <w:sz w:val="16"/>
          <w:szCs w:val="16"/>
        </w:rPr>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DF4828"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17" w:name="_Toc54937061"/>
      <w:r>
        <w:t>Interfejs programowania aplikacji Translator</w:t>
      </w:r>
      <w:bookmarkEnd w:id="117"/>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E7208F">
      <w:pPr>
        <w:pStyle w:val="ProductList-Body"/>
        <w:rPr>
          <w:sz w:val="16"/>
          <w:szCs w:val="16"/>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DF4828"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E7208F">
      <w:pPr>
        <w:pStyle w:val="ProductList-Body"/>
        <w:rPr>
          <w:sz w:val="16"/>
          <w:szCs w:val="16"/>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18" w:name="_Toc457821597"/>
    <w:bookmarkStart w:id="119" w:name="_Toc465333785"/>
    <w:bookmarkStart w:id="120"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F20EC16" w14:textId="77777777" w:rsidR="00807EA1" w:rsidRDefault="00807EA1" w:rsidP="00591818">
      <w:pPr>
        <w:pStyle w:val="ProductList-Offering2Heading"/>
        <w:tabs>
          <w:tab w:val="clear" w:pos="360"/>
        </w:tabs>
        <w:outlineLvl w:val="2"/>
      </w:pPr>
      <w:bookmarkStart w:id="121" w:name="_Toc13833097"/>
      <w:bookmarkStart w:id="122" w:name="MDATP"/>
      <w:bookmarkStart w:id="123" w:name="_Toc54937062"/>
      <w:bookmarkEnd w:id="118"/>
      <w:bookmarkEnd w:id="119"/>
      <w:bookmarkEnd w:id="120"/>
      <w:r>
        <w:t>Microsoft Defender Advanced Threat Protection</w:t>
      </w:r>
      <w:bookmarkEnd w:id="121"/>
      <w:bookmarkEnd w:id="122"/>
      <w:bookmarkEnd w:id="123"/>
    </w:p>
    <w:p w14:paraId="3D0DEB33" w14:textId="77777777" w:rsidR="00807EA1" w:rsidRDefault="00807EA1" w:rsidP="00591818">
      <w:pPr>
        <w:pStyle w:val="ProductList-Body"/>
        <w:rPr>
          <w:b/>
          <w:color w:val="00188F"/>
        </w:rPr>
      </w:pPr>
      <w:r>
        <w:rPr>
          <w:b/>
          <w:color w:val="00188F"/>
        </w:rPr>
        <w:t>Dodatkowe definicje</w:t>
      </w:r>
      <w:r>
        <w:rPr>
          <w:b/>
        </w:rPr>
        <w:t>:</w:t>
      </w:r>
    </w:p>
    <w:p w14:paraId="5A04C9E2" w14:textId="77777777" w:rsidR="00807EA1" w:rsidRDefault="00807EA1" w:rsidP="00E7208F">
      <w:pPr>
        <w:pStyle w:val="ProductList-Body"/>
        <w:spacing w:after="40"/>
      </w:pPr>
      <w:r>
        <w:t>„</w:t>
      </w:r>
      <w:r>
        <w:rPr>
          <w:b/>
          <w:color w:val="00188F"/>
        </w:rPr>
        <w:t>Maksymalna Liczba Minut Dostępności</w:t>
      </w:r>
      <w:r>
        <w:t>” oznacza łączną zakumulowaną liczbę minut dostępności portalu Microsoft Defender Advanced Threat Protection w danym miesiącu rozliczeniowym. Maksymalna Liczba Minut Dostępności jest mierzona od momentu utworzenia profilu Dzierżawcy w wyniku udanego zakończenia procesu wdrożenia.</w:t>
      </w:r>
    </w:p>
    <w:p w14:paraId="04C1D273" w14:textId="77777777" w:rsidR="00807EA1" w:rsidRDefault="00807EA1" w:rsidP="00807EA1">
      <w:pPr>
        <w:pStyle w:val="ProductList-Body"/>
      </w:pPr>
      <w:r>
        <w:t>„</w:t>
      </w:r>
      <w:r>
        <w:rPr>
          <w:b/>
          <w:color w:val="00188F"/>
        </w:rPr>
        <w:t>Dzierżawca</w:t>
      </w:r>
      <w:r>
        <w:t>” to środowisko chmury właściwe dla klienta korzystającego z portalu Microsoft Defender Advanced Threat Protection.</w:t>
      </w:r>
    </w:p>
    <w:p w14:paraId="1AB3361C" w14:textId="77777777" w:rsidR="00807EA1" w:rsidRDefault="00807EA1" w:rsidP="00807EA1">
      <w:pPr>
        <w:pStyle w:val="ProductList-Body"/>
      </w:pPr>
    </w:p>
    <w:p w14:paraId="682F89B7" w14:textId="77777777" w:rsidR="00807EA1" w:rsidRDefault="00807EA1" w:rsidP="00807EA1">
      <w:pPr>
        <w:pStyle w:val="ProductList-Body"/>
      </w:pPr>
      <w:r>
        <w:rPr>
          <w:b/>
          <w:color w:val="00188F"/>
        </w:rPr>
        <w:t>Przestój</w:t>
      </w:r>
      <w:r>
        <w:rPr>
          <w:b/>
        </w:rPr>
        <w:t>:</w:t>
      </w:r>
      <w:r>
        <w:t xml:space="preserve"> </w:t>
      </w:r>
      <w:r>
        <w:rPr>
          <w:szCs w:val="18"/>
        </w:rPr>
        <w:t>oznacza łączną zakumulowaną liczbę minut wchodzących w skład Maksymalnej Liczby Minut Dostępności, w czasie których klient nie może uzyskać dostępu do żadnej części zbioru witryn w ramach portalu Microsoft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DF4828"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490A12D9" w14:textId="2281F376" w:rsidR="006E17A6" w:rsidRDefault="006E17A6" w:rsidP="006E17A6">
      <w:pPr>
        <w:pStyle w:val="ProductList-Body"/>
        <w:sectPr w:rsidR="006E17A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5" w:name="_Toc54937063"/>
      <w:r>
        <w:t>Załącznik A</w:t>
      </w:r>
      <w:bookmarkEnd w:id="124"/>
      <w:r>
        <w:t xml:space="preserve"> – Zadeklarowanie Poziomu Usługi w Zakresie Wykrywania i Blokowania Wirusów, Efektywności Filtrów Antyspamowych i Fałszywych Trafień Pozytywnych</w:t>
      </w:r>
      <w:bookmarkEnd w:id="12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26" w:name="AppendixB"/>
      <w:bookmarkStart w:id="127" w:name="_Toc54937064"/>
      <w:r>
        <w:t>Załącznik B</w:t>
      </w:r>
      <w:bookmarkEnd w:id="126"/>
      <w:r>
        <w:t xml:space="preserve"> </w:t>
      </w:r>
      <w:r w:rsidR="008868E1">
        <w:t>–</w:t>
      </w:r>
      <w:r>
        <w:t xml:space="preserve"> Zadeklarowanie Poziomu Usługi w Zakresie Czasu Nieprzerwanej Pracy i Dostarczania Poczty Elektronicznej</w:t>
      </w:r>
      <w:bookmarkEnd w:id="12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70EB" w14:textId="77777777" w:rsidR="00264C3C" w:rsidRDefault="00264C3C" w:rsidP="009A573F">
      <w:pPr>
        <w:spacing w:after="0" w:line="240" w:lineRule="auto"/>
      </w:pPr>
      <w:r>
        <w:separator/>
      </w:r>
    </w:p>
  </w:endnote>
  <w:endnote w:type="continuationSeparator" w:id="0">
    <w:p w14:paraId="224A52DA" w14:textId="77777777" w:rsidR="00264C3C" w:rsidRDefault="00264C3C" w:rsidP="009A573F">
      <w:pPr>
        <w:spacing w:after="0" w:line="240" w:lineRule="auto"/>
      </w:pPr>
      <w:r>
        <w:continuationSeparator/>
      </w:r>
    </w:p>
  </w:endnote>
  <w:endnote w:type="continuationNotice" w:id="1">
    <w:p w14:paraId="32D2B99E" w14:textId="77777777" w:rsidR="00264C3C" w:rsidRDefault="00264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12E" w:rsidRPr="00C76DF3" w14:paraId="15A2D634" w14:textId="77777777" w:rsidTr="00CA55D9">
      <w:tc>
        <w:tcPr>
          <w:tcW w:w="1255" w:type="dxa"/>
          <w:shd w:val="clear" w:color="auto" w:fill="BFBFBF" w:themeFill="background1" w:themeFillShade="BF"/>
          <w:vAlign w:val="center"/>
        </w:tcPr>
        <w:p w14:paraId="2DBC2034" w14:textId="77777777" w:rsidR="00E8112E" w:rsidRPr="00C76DF3" w:rsidRDefault="00DF4828" w:rsidP="00370875">
          <w:pPr>
            <w:pStyle w:val="ProductList-OfferingBody"/>
            <w:ind w:left="-77" w:right="-73"/>
            <w:jc w:val="center"/>
            <w:rPr>
              <w:color w:val="808080" w:themeColor="background1" w:themeShade="80"/>
              <w:sz w:val="14"/>
              <w:szCs w:val="14"/>
            </w:rPr>
          </w:pPr>
          <w:hyperlink w:anchor="TableOfContents" w:history="1">
            <w:r w:rsidR="00E8112E">
              <w:rPr>
                <w:rStyle w:val="Hyperlink"/>
                <w:sz w:val="14"/>
                <w:szCs w:val="14"/>
              </w:rPr>
              <w:t>Spis treści</w:t>
            </w:r>
          </w:hyperlink>
        </w:p>
      </w:tc>
      <w:tc>
        <w:tcPr>
          <w:tcW w:w="181" w:type="dxa"/>
          <w:tcBorders>
            <w:top w:val="nil"/>
            <w:bottom w:val="nil"/>
          </w:tcBorders>
          <w:vAlign w:val="center"/>
        </w:tcPr>
        <w:p w14:paraId="252C3380" w14:textId="77777777" w:rsidR="00E8112E" w:rsidRPr="00C76DF3" w:rsidRDefault="00E8112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12E" w:rsidRPr="00C76DF3" w:rsidRDefault="00DF4828" w:rsidP="00370875">
          <w:pPr>
            <w:pStyle w:val="ProductList-OfferingBody"/>
            <w:ind w:left="-72" w:right="-74"/>
            <w:jc w:val="center"/>
            <w:rPr>
              <w:color w:val="808080" w:themeColor="background1" w:themeShade="80"/>
              <w:sz w:val="14"/>
              <w:szCs w:val="14"/>
            </w:rPr>
          </w:pPr>
          <w:hyperlink w:anchor="Introduction" w:history="1">
            <w:r w:rsidR="00E8112E">
              <w:rPr>
                <w:rStyle w:val="Hyperlink"/>
                <w:sz w:val="14"/>
                <w:szCs w:val="14"/>
              </w:rPr>
              <w:t>Wprowadzenie</w:t>
            </w:r>
          </w:hyperlink>
        </w:p>
      </w:tc>
      <w:tc>
        <w:tcPr>
          <w:tcW w:w="182" w:type="dxa"/>
          <w:tcBorders>
            <w:top w:val="nil"/>
            <w:bottom w:val="nil"/>
          </w:tcBorders>
          <w:vAlign w:val="center"/>
        </w:tcPr>
        <w:p w14:paraId="0F966FD9" w14:textId="77777777" w:rsidR="00E8112E" w:rsidRPr="00C76DF3" w:rsidRDefault="00E8112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12E" w:rsidRPr="00C76DF3" w:rsidRDefault="00DF4828" w:rsidP="00370875">
          <w:pPr>
            <w:pStyle w:val="ProductList-OfferingBody"/>
            <w:ind w:left="-72" w:right="-75"/>
            <w:jc w:val="center"/>
            <w:rPr>
              <w:color w:val="808080" w:themeColor="background1" w:themeShade="80"/>
              <w:sz w:val="14"/>
              <w:szCs w:val="14"/>
            </w:rPr>
          </w:pPr>
          <w:hyperlink w:anchor="Glossary" w:history="1">
            <w:r w:rsidR="00E8112E">
              <w:rPr>
                <w:rStyle w:val="Hyperlink"/>
                <w:sz w:val="14"/>
                <w:szCs w:val="14"/>
              </w:rPr>
              <w:t>Słowniczek</w:t>
            </w:r>
          </w:hyperlink>
          <w:r w:rsidR="00E8112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12E" w:rsidRPr="00C76DF3" w:rsidRDefault="00E8112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12E" w:rsidRPr="00C76DF3" w:rsidRDefault="00DF4828" w:rsidP="00370875">
          <w:pPr>
            <w:pStyle w:val="ProductList-OfferingBody"/>
            <w:ind w:left="-72" w:right="-77"/>
            <w:jc w:val="center"/>
            <w:rPr>
              <w:color w:val="808080" w:themeColor="background1" w:themeShade="80"/>
              <w:sz w:val="14"/>
              <w:szCs w:val="14"/>
            </w:rPr>
          </w:pPr>
          <w:hyperlink w:anchor="LicenseTerms" w:history="1">
            <w:r w:rsidR="00E8112E">
              <w:rPr>
                <w:rStyle w:val="Hyperlink"/>
                <w:sz w:val="14"/>
                <w:szCs w:val="14"/>
              </w:rPr>
              <w:t>Postanowienia licencyjne</w:t>
            </w:r>
          </w:hyperlink>
        </w:p>
      </w:tc>
      <w:tc>
        <w:tcPr>
          <w:tcW w:w="185" w:type="dxa"/>
          <w:tcBorders>
            <w:top w:val="nil"/>
            <w:bottom w:val="nil"/>
          </w:tcBorders>
          <w:vAlign w:val="center"/>
        </w:tcPr>
        <w:p w14:paraId="69800AFB" w14:textId="77777777" w:rsidR="00E8112E" w:rsidRPr="00C76DF3" w:rsidRDefault="00E811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12E" w:rsidRPr="00C76DF3" w:rsidRDefault="00DF4828" w:rsidP="00370875">
          <w:pPr>
            <w:pStyle w:val="ProductList-OfferingBody"/>
            <w:ind w:left="-72" w:right="-77"/>
            <w:jc w:val="center"/>
            <w:rPr>
              <w:color w:val="808080" w:themeColor="background1" w:themeShade="80"/>
              <w:sz w:val="14"/>
              <w:szCs w:val="14"/>
            </w:rPr>
          </w:pPr>
          <w:hyperlink w:anchor="Software" w:history="1">
            <w:r w:rsidR="00E8112E">
              <w:rPr>
                <w:rStyle w:val="Hyperlink"/>
                <w:sz w:val="14"/>
                <w:szCs w:val="14"/>
              </w:rPr>
              <w:t>Oprogramowanie</w:t>
            </w:r>
          </w:hyperlink>
        </w:p>
      </w:tc>
      <w:tc>
        <w:tcPr>
          <w:tcW w:w="180" w:type="dxa"/>
          <w:tcBorders>
            <w:top w:val="nil"/>
            <w:bottom w:val="nil"/>
          </w:tcBorders>
        </w:tcPr>
        <w:p w14:paraId="4F6F3066" w14:textId="77777777" w:rsidR="00E8112E" w:rsidRPr="00C76DF3" w:rsidRDefault="00E8112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12E" w:rsidRPr="00C76DF3" w:rsidRDefault="00DF48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12E">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E8112E" w:rsidRPr="00C76DF3" w:rsidRDefault="00E811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12E" w:rsidRPr="00C76DF3" w:rsidRDefault="00DF4828" w:rsidP="00370875">
          <w:pPr>
            <w:pStyle w:val="ProductList-OfferingBody"/>
            <w:ind w:left="-72" w:right="-76"/>
            <w:jc w:val="center"/>
            <w:rPr>
              <w:color w:val="808080" w:themeColor="background1" w:themeShade="80"/>
              <w:sz w:val="14"/>
              <w:szCs w:val="14"/>
            </w:rPr>
          </w:pPr>
          <w:hyperlink w:anchor="AppendixA" w:history="1">
            <w:r w:rsidR="00E8112E">
              <w:rPr>
                <w:rStyle w:val="Hyperlink"/>
                <w:sz w:val="14"/>
                <w:szCs w:val="14"/>
              </w:rPr>
              <w:t>Załączniki</w:t>
            </w:r>
          </w:hyperlink>
        </w:p>
      </w:tc>
      <w:tc>
        <w:tcPr>
          <w:tcW w:w="184" w:type="dxa"/>
          <w:tcBorders>
            <w:top w:val="nil"/>
            <w:bottom w:val="nil"/>
          </w:tcBorders>
          <w:vAlign w:val="center"/>
        </w:tcPr>
        <w:p w14:paraId="4CB1671F" w14:textId="77777777" w:rsidR="00E8112E" w:rsidRPr="00C76DF3" w:rsidRDefault="00E8112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12E" w:rsidRPr="00C76DF3" w:rsidRDefault="00DF4828" w:rsidP="00370875">
          <w:pPr>
            <w:pStyle w:val="ProductList-OfferingBody"/>
            <w:ind w:left="-72" w:right="-74"/>
            <w:jc w:val="center"/>
            <w:rPr>
              <w:color w:val="808080" w:themeColor="background1" w:themeShade="80"/>
              <w:sz w:val="14"/>
              <w:szCs w:val="14"/>
            </w:rPr>
          </w:pPr>
          <w:hyperlink w:anchor="Index" w:history="1">
            <w:r w:rsidR="00E8112E">
              <w:rPr>
                <w:rStyle w:val="Hyperlink"/>
                <w:sz w:val="14"/>
                <w:szCs w:val="14"/>
              </w:rPr>
              <w:t>Indeks</w:t>
            </w:r>
          </w:hyperlink>
        </w:p>
      </w:tc>
    </w:tr>
  </w:tbl>
  <w:p w14:paraId="23003BC5" w14:textId="77777777" w:rsidR="00E8112E" w:rsidRDefault="00E8112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3A65C031" w14:textId="77777777" w:rsidTr="006E17A6">
      <w:tc>
        <w:tcPr>
          <w:tcW w:w="1980" w:type="dxa"/>
          <w:shd w:val="clear" w:color="auto" w:fill="F2F2F2"/>
          <w:vAlign w:val="center"/>
        </w:tcPr>
        <w:p w14:paraId="005A419F" w14:textId="77777777" w:rsidR="00E8112E" w:rsidRPr="00D56852" w:rsidRDefault="00DF482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E8112E" w:rsidRPr="006F0B13" w:rsidRDefault="00E8112E"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E8112E" w:rsidRPr="00D56852" w:rsidRDefault="00DF482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E8112E" w:rsidRPr="00D56852" w:rsidRDefault="00DF482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E8112E" w:rsidRPr="00D56852" w:rsidRDefault="00DF482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E8112E" w:rsidRPr="00D56852" w:rsidRDefault="00DF482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2EAB654F" w14:textId="77777777" w:rsidR="00E8112E" w:rsidRDefault="00E8112E"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4A8117EC" w14:textId="77777777" w:rsidTr="00930B22">
      <w:tc>
        <w:tcPr>
          <w:tcW w:w="1980" w:type="dxa"/>
          <w:shd w:val="clear" w:color="auto" w:fill="F2F2F2"/>
          <w:vAlign w:val="center"/>
        </w:tcPr>
        <w:p w14:paraId="7F866D57" w14:textId="77777777" w:rsidR="00E8112E" w:rsidRPr="00D56852" w:rsidRDefault="00DF4828"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E8112E" w:rsidRPr="006F0B13" w:rsidRDefault="00E8112E"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E8112E" w:rsidRPr="00D56852" w:rsidRDefault="00DF4828"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E8112E" w:rsidRPr="00D56852" w:rsidRDefault="00DF4828"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E8112E" w:rsidRPr="00D56852" w:rsidRDefault="00DF4828"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E8112E" w:rsidRPr="00D56852" w:rsidRDefault="00DF4828"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557FA7B4" w14:textId="77777777" w:rsidR="00E8112E" w:rsidRPr="006E17A6" w:rsidRDefault="00E8112E"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675B2D32" w14:textId="77777777" w:rsidTr="006E17A6">
      <w:tc>
        <w:tcPr>
          <w:tcW w:w="1980" w:type="dxa"/>
          <w:shd w:val="clear" w:color="auto" w:fill="F2F2F2"/>
          <w:vAlign w:val="center"/>
        </w:tcPr>
        <w:p w14:paraId="156E4689" w14:textId="77777777" w:rsidR="00E8112E" w:rsidRPr="00D56852" w:rsidRDefault="00DF482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E8112E" w:rsidRPr="006F0B13" w:rsidRDefault="00E8112E"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E8112E" w:rsidRPr="00D56852" w:rsidRDefault="00DF482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E8112E" w:rsidRPr="00D56852" w:rsidRDefault="00DF482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E8112E" w:rsidRPr="00D56852" w:rsidRDefault="00DF482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E8112E" w:rsidRPr="006F0B13" w:rsidRDefault="00E8112E"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E8112E" w:rsidRPr="00D56852" w:rsidRDefault="00DF482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2FE1B6D9" w14:textId="77777777" w:rsidR="00E8112E" w:rsidRDefault="00E8112E"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5B0506AA" w14:textId="77777777" w:rsidTr="00930B22">
      <w:tc>
        <w:tcPr>
          <w:tcW w:w="1980" w:type="dxa"/>
          <w:shd w:val="clear" w:color="auto" w:fill="F2F2F2"/>
          <w:vAlign w:val="center"/>
        </w:tcPr>
        <w:p w14:paraId="4DAD47D2" w14:textId="77777777" w:rsidR="00E8112E" w:rsidRPr="00D56852" w:rsidRDefault="00DF4828"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E8112E" w:rsidRPr="006F0B13" w:rsidRDefault="00E8112E"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E8112E" w:rsidRPr="00D56852" w:rsidRDefault="00DF4828"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E8112E" w:rsidRPr="00D56852" w:rsidRDefault="00DF4828"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E8112E" w:rsidRPr="00D56852" w:rsidRDefault="00DF4828"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E8112E" w:rsidRPr="006F0B13" w:rsidRDefault="00E8112E"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E8112E" w:rsidRPr="00D56852" w:rsidRDefault="00DF4828"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171D1E99" w14:textId="77777777" w:rsidR="00E8112E" w:rsidRDefault="00E8112E"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8112E" w:rsidRDefault="00E8112E"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25A3A111" w14:textId="77777777" w:rsidTr="00C90903">
      <w:tc>
        <w:tcPr>
          <w:tcW w:w="1980" w:type="dxa"/>
          <w:shd w:val="clear" w:color="auto" w:fill="BFBFBF" w:themeFill="background1" w:themeFillShade="BF"/>
          <w:vAlign w:val="center"/>
        </w:tcPr>
        <w:p w14:paraId="5F986FDD" w14:textId="12281895" w:rsidR="00E8112E" w:rsidRPr="00D56852" w:rsidRDefault="00DF4828"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E8112E" w:rsidRPr="00DE31E9" w:rsidRDefault="00E8112E"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E8112E" w:rsidRPr="00D56852" w:rsidRDefault="00DF4828"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E8112E" w:rsidRPr="00AF2B2D" w:rsidRDefault="00E8112E"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E8112E" w:rsidRPr="00D56852" w:rsidRDefault="00DF4828"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E8112E" w:rsidRPr="00AF2B2D" w:rsidRDefault="00E8112E"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E8112E" w:rsidRPr="00D56852" w:rsidRDefault="00DF4828"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E8112E" w:rsidRPr="00D56852" w:rsidRDefault="00DF4828"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1166BF0D" w14:textId="77777777" w:rsidR="00E8112E" w:rsidRDefault="00E8112E"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33D4DD0F" w14:textId="77777777" w:rsidTr="00415697">
      <w:tc>
        <w:tcPr>
          <w:tcW w:w="1980" w:type="dxa"/>
          <w:shd w:val="clear" w:color="auto" w:fill="BFBFBF" w:themeFill="background1" w:themeFillShade="BF"/>
          <w:vAlign w:val="center"/>
        </w:tcPr>
        <w:p w14:paraId="68CFD11B" w14:textId="77777777" w:rsidR="00E8112E" w:rsidRPr="00D56852" w:rsidRDefault="00DF4828"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E8112E" w:rsidRPr="00DE31E9" w:rsidRDefault="00E8112E"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E8112E" w:rsidRPr="00D56852" w:rsidRDefault="00DF4828"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E8112E" w:rsidRPr="00AF2B2D" w:rsidRDefault="00E8112E"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E8112E" w:rsidRPr="00D56852" w:rsidRDefault="00DF4828"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E8112E" w:rsidRPr="00AF2B2D" w:rsidRDefault="00E8112E"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E8112E" w:rsidRPr="00D56852" w:rsidRDefault="00DF4828"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E8112E" w:rsidRPr="006F0B13" w:rsidRDefault="00E8112E"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E8112E" w:rsidRPr="00D56852" w:rsidRDefault="00DF4828"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55876EE2" w14:textId="77777777" w:rsidR="00E8112E" w:rsidRDefault="00E8112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12E" w:rsidRPr="00C76DF3" w14:paraId="49EBE58A" w14:textId="77777777" w:rsidTr="00B5200C">
      <w:tc>
        <w:tcPr>
          <w:tcW w:w="1255" w:type="dxa"/>
          <w:shd w:val="clear" w:color="auto" w:fill="F2F2F2" w:themeFill="background1" w:themeFillShade="F2"/>
          <w:vAlign w:val="center"/>
        </w:tcPr>
        <w:p w14:paraId="102377D2" w14:textId="77777777" w:rsidR="00E8112E" w:rsidRPr="00C76DF3" w:rsidRDefault="00DF4828" w:rsidP="00370875">
          <w:pPr>
            <w:pStyle w:val="ProductList-OfferingBody"/>
            <w:ind w:left="-77" w:right="-73"/>
            <w:jc w:val="center"/>
            <w:rPr>
              <w:color w:val="808080" w:themeColor="background1" w:themeShade="80"/>
              <w:sz w:val="14"/>
              <w:szCs w:val="14"/>
            </w:rPr>
          </w:pPr>
          <w:hyperlink w:anchor="TableOfContents" w:history="1">
            <w:r w:rsidR="00E8112E">
              <w:rPr>
                <w:rStyle w:val="Hyperlink"/>
                <w:sz w:val="14"/>
                <w:szCs w:val="14"/>
              </w:rPr>
              <w:t>Spis treści</w:t>
            </w:r>
          </w:hyperlink>
        </w:p>
      </w:tc>
      <w:tc>
        <w:tcPr>
          <w:tcW w:w="181" w:type="dxa"/>
          <w:tcBorders>
            <w:top w:val="nil"/>
            <w:bottom w:val="nil"/>
          </w:tcBorders>
          <w:vAlign w:val="center"/>
        </w:tcPr>
        <w:p w14:paraId="3BB867E4" w14:textId="77777777" w:rsidR="00E8112E" w:rsidRPr="00C76DF3" w:rsidRDefault="00E8112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12E" w:rsidRPr="00C76DF3" w:rsidRDefault="00DF4828" w:rsidP="00370875">
          <w:pPr>
            <w:pStyle w:val="ProductList-OfferingBody"/>
            <w:ind w:left="-72" w:right="-74"/>
            <w:jc w:val="center"/>
            <w:rPr>
              <w:color w:val="808080" w:themeColor="background1" w:themeShade="80"/>
              <w:sz w:val="14"/>
              <w:szCs w:val="14"/>
            </w:rPr>
          </w:pPr>
          <w:hyperlink w:anchor="Introduction" w:history="1">
            <w:r w:rsidR="00E8112E">
              <w:rPr>
                <w:rStyle w:val="Hyperlink"/>
                <w:sz w:val="14"/>
                <w:szCs w:val="14"/>
              </w:rPr>
              <w:t>Wprowadzenie</w:t>
            </w:r>
          </w:hyperlink>
        </w:p>
      </w:tc>
      <w:tc>
        <w:tcPr>
          <w:tcW w:w="182" w:type="dxa"/>
          <w:tcBorders>
            <w:top w:val="nil"/>
            <w:bottom w:val="nil"/>
          </w:tcBorders>
          <w:vAlign w:val="center"/>
        </w:tcPr>
        <w:p w14:paraId="53D82520" w14:textId="77777777" w:rsidR="00E8112E" w:rsidRPr="00C76DF3" w:rsidRDefault="00E8112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12E" w:rsidRPr="00C76DF3" w:rsidRDefault="00DF4828" w:rsidP="00370875">
          <w:pPr>
            <w:pStyle w:val="ProductList-OfferingBody"/>
            <w:ind w:left="-72" w:right="-75"/>
            <w:jc w:val="center"/>
            <w:rPr>
              <w:color w:val="808080" w:themeColor="background1" w:themeShade="80"/>
              <w:sz w:val="14"/>
              <w:szCs w:val="14"/>
            </w:rPr>
          </w:pPr>
          <w:hyperlink w:anchor="LicenseTerms" w:history="1">
            <w:r w:rsidR="00E8112E">
              <w:rPr>
                <w:rStyle w:val="Hyperlink"/>
                <w:sz w:val="14"/>
                <w:szCs w:val="14"/>
              </w:rPr>
              <w:t>Postanowienia licencyjne</w:t>
            </w:r>
          </w:hyperlink>
        </w:p>
      </w:tc>
      <w:tc>
        <w:tcPr>
          <w:tcW w:w="183" w:type="dxa"/>
          <w:tcBorders>
            <w:top w:val="nil"/>
            <w:bottom w:val="nil"/>
          </w:tcBorders>
          <w:vAlign w:val="center"/>
        </w:tcPr>
        <w:p w14:paraId="1125AF40" w14:textId="77777777" w:rsidR="00E8112E" w:rsidRPr="00C76DF3" w:rsidRDefault="00E8112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12E" w:rsidRPr="00C76DF3" w:rsidRDefault="00DF4828" w:rsidP="00370875">
          <w:pPr>
            <w:pStyle w:val="ProductList-OfferingBody"/>
            <w:ind w:left="-72" w:right="-77"/>
            <w:jc w:val="center"/>
            <w:rPr>
              <w:color w:val="808080" w:themeColor="background1" w:themeShade="80"/>
              <w:sz w:val="14"/>
              <w:szCs w:val="14"/>
            </w:rPr>
          </w:pPr>
          <w:hyperlink w:anchor="Software" w:history="1">
            <w:r w:rsidR="00E8112E">
              <w:rPr>
                <w:rStyle w:val="Hyperlink"/>
                <w:sz w:val="14"/>
                <w:szCs w:val="14"/>
              </w:rPr>
              <w:t>Oprogramowanie</w:t>
            </w:r>
          </w:hyperlink>
        </w:p>
      </w:tc>
      <w:tc>
        <w:tcPr>
          <w:tcW w:w="185" w:type="dxa"/>
          <w:tcBorders>
            <w:top w:val="nil"/>
            <w:bottom w:val="nil"/>
          </w:tcBorders>
          <w:vAlign w:val="center"/>
        </w:tcPr>
        <w:p w14:paraId="1E5F93B5" w14:textId="77777777" w:rsidR="00E8112E" w:rsidRPr="00C76DF3" w:rsidRDefault="00E811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12E" w:rsidRPr="00C76DF3" w:rsidRDefault="00DF4828" w:rsidP="000506C5">
          <w:pPr>
            <w:pStyle w:val="ProductList-OfferingBody"/>
            <w:ind w:left="-72" w:right="-77"/>
            <w:jc w:val="center"/>
            <w:rPr>
              <w:color w:val="808080" w:themeColor="background1" w:themeShade="80"/>
              <w:sz w:val="14"/>
              <w:szCs w:val="14"/>
            </w:rPr>
          </w:pPr>
          <w:hyperlink w:anchor="OnlineServices" w:history="1">
            <w:r w:rsidR="00E8112E">
              <w:rPr>
                <w:rStyle w:val="Hyperlink"/>
                <w:sz w:val="14"/>
                <w:szCs w:val="14"/>
              </w:rPr>
              <w:t>Usługi Online</w:t>
            </w:r>
          </w:hyperlink>
        </w:p>
      </w:tc>
      <w:tc>
        <w:tcPr>
          <w:tcW w:w="180" w:type="dxa"/>
          <w:tcBorders>
            <w:top w:val="nil"/>
            <w:bottom w:val="nil"/>
          </w:tcBorders>
        </w:tcPr>
        <w:p w14:paraId="774E3CA7" w14:textId="77777777" w:rsidR="00E8112E" w:rsidRPr="00C76DF3" w:rsidRDefault="00E8112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12E" w:rsidRPr="00C76DF3" w:rsidRDefault="00DF48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12E">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E8112E" w:rsidRPr="00C76DF3" w:rsidRDefault="00E8112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12E" w:rsidRPr="00C76DF3" w:rsidRDefault="00DF4828" w:rsidP="00370875">
          <w:pPr>
            <w:pStyle w:val="ProductList-OfferingBody"/>
            <w:ind w:left="-72" w:right="-76"/>
            <w:jc w:val="center"/>
            <w:rPr>
              <w:color w:val="808080" w:themeColor="background1" w:themeShade="80"/>
              <w:sz w:val="14"/>
              <w:szCs w:val="14"/>
            </w:rPr>
          </w:pPr>
          <w:hyperlink w:anchor="AppendixA" w:history="1">
            <w:r w:rsidR="00E8112E">
              <w:rPr>
                <w:rStyle w:val="Hyperlink"/>
                <w:sz w:val="14"/>
                <w:szCs w:val="14"/>
              </w:rPr>
              <w:t>Załączniki</w:t>
            </w:r>
          </w:hyperlink>
        </w:p>
      </w:tc>
      <w:tc>
        <w:tcPr>
          <w:tcW w:w="184" w:type="dxa"/>
          <w:tcBorders>
            <w:top w:val="nil"/>
            <w:bottom w:val="nil"/>
          </w:tcBorders>
          <w:vAlign w:val="center"/>
        </w:tcPr>
        <w:p w14:paraId="54B478A3" w14:textId="77777777" w:rsidR="00E8112E" w:rsidRPr="00C76DF3" w:rsidRDefault="00E8112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12E" w:rsidRPr="00C76DF3" w:rsidRDefault="00DF4828" w:rsidP="00370875">
          <w:pPr>
            <w:pStyle w:val="ProductList-OfferingBody"/>
            <w:ind w:left="-72" w:right="-74"/>
            <w:jc w:val="center"/>
            <w:rPr>
              <w:color w:val="808080" w:themeColor="background1" w:themeShade="80"/>
              <w:sz w:val="14"/>
              <w:szCs w:val="14"/>
            </w:rPr>
          </w:pPr>
          <w:hyperlink w:anchor="Index" w:history="1">
            <w:r w:rsidR="00E8112E">
              <w:rPr>
                <w:rStyle w:val="Hyperlink"/>
                <w:sz w:val="14"/>
                <w:szCs w:val="14"/>
              </w:rPr>
              <w:t>Indeks</w:t>
            </w:r>
          </w:hyperlink>
        </w:p>
      </w:tc>
    </w:tr>
  </w:tbl>
  <w:p w14:paraId="79D1A8DC" w14:textId="77777777" w:rsidR="00E8112E" w:rsidRDefault="00E8112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63DDB396" w14:textId="77777777" w:rsidTr="009977A8">
      <w:tc>
        <w:tcPr>
          <w:tcW w:w="1980" w:type="dxa"/>
          <w:shd w:val="clear" w:color="auto" w:fill="F2F2F2"/>
          <w:vAlign w:val="center"/>
        </w:tcPr>
        <w:p w14:paraId="28C50177" w14:textId="77777777" w:rsidR="00E8112E" w:rsidRPr="00D56852" w:rsidRDefault="00DF4828"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E8112E" w:rsidRPr="006F0B13" w:rsidRDefault="00E8112E"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E8112E" w:rsidRPr="00D56852" w:rsidRDefault="00DF4828"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E8112E" w:rsidRPr="00D56852" w:rsidRDefault="00DF4828"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E8112E" w:rsidRPr="00D56852" w:rsidRDefault="00DF4828"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E8112E" w:rsidRPr="00D56852" w:rsidRDefault="00DF4828"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4B3F6047" w14:textId="77777777" w:rsidR="00E8112E" w:rsidRDefault="00E8112E"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27E5A447" w14:textId="77777777" w:rsidTr="00FC1186">
      <w:tc>
        <w:tcPr>
          <w:tcW w:w="1980" w:type="dxa"/>
          <w:shd w:val="clear" w:color="auto" w:fill="F2F2F2"/>
          <w:vAlign w:val="center"/>
        </w:tcPr>
        <w:p w14:paraId="132D14E7" w14:textId="77777777" w:rsidR="00E8112E" w:rsidRPr="00D56852" w:rsidRDefault="00DF482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E8112E" w:rsidRPr="006F0B13" w:rsidRDefault="00E8112E"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E8112E" w:rsidRPr="00D56852" w:rsidRDefault="00DF482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E8112E" w:rsidRPr="00D56852" w:rsidRDefault="00DF482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E8112E" w:rsidRPr="00D56852" w:rsidRDefault="00DF482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E8112E" w:rsidRPr="00D56852" w:rsidRDefault="00DF482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2FDC0F16" w14:textId="77777777" w:rsidR="00E8112E" w:rsidRDefault="00E8112E"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60333C6A" w14:textId="77777777" w:rsidTr="00541DCC">
      <w:tc>
        <w:tcPr>
          <w:tcW w:w="1980" w:type="dxa"/>
          <w:shd w:val="clear" w:color="auto" w:fill="F2F2F2"/>
          <w:vAlign w:val="center"/>
        </w:tcPr>
        <w:p w14:paraId="385FEAC0" w14:textId="77777777" w:rsidR="00E8112E" w:rsidRPr="00D56852" w:rsidRDefault="00DF482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E8112E" w:rsidRPr="006F0B13" w:rsidRDefault="00E8112E"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E8112E" w:rsidRPr="00D56852" w:rsidRDefault="00DF482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E8112E" w:rsidRPr="00D56852" w:rsidRDefault="00DF482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E8112E" w:rsidRPr="00D56852" w:rsidRDefault="00DF482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E8112E" w:rsidRPr="00D56852" w:rsidRDefault="00DF482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28A19E01" w14:textId="77777777" w:rsidR="00E8112E" w:rsidRDefault="00E8112E"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E8112E" w:rsidRPr="006B3495" w14:paraId="3FA30B56" w14:textId="77777777" w:rsidTr="00FC1186">
      <w:tc>
        <w:tcPr>
          <w:tcW w:w="1980" w:type="dxa"/>
          <w:shd w:val="clear" w:color="auto" w:fill="F2F2F2"/>
          <w:vAlign w:val="center"/>
        </w:tcPr>
        <w:p w14:paraId="4C0FB1D7" w14:textId="77777777" w:rsidR="00E8112E" w:rsidRPr="00D56852" w:rsidRDefault="00DF482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E8112E"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E8112E" w:rsidRPr="006F0B13" w:rsidRDefault="00E8112E"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E8112E" w:rsidRPr="00D56852" w:rsidRDefault="00DF482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E8112E"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E8112E" w:rsidRPr="00D56852" w:rsidRDefault="00DF482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E8112E"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E8112E" w:rsidRPr="00D56852" w:rsidRDefault="00DF482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E8112E" w:rsidRPr="00D56852">
              <w:rPr>
                <w:rStyle w:val="LogoportDoNotTranslate"/>
                <w:rFonts w:asciiTheme="minorHAnsi" w:hAnsiTheme="minorHAnsi"/>
                <w:color w:val="0563C1"/>
                <w:sz w:val="14"/>
                <w:szCs w:val="14"/>
                <w:u w:val="single"/>
              </w:rPr>
              <w:t>Postanowienia Dotyczące Danej</w:t>
            </w:r>
            <w:r w:rsidR="00E8112E">
              <w:rPr>
                <w:rStyle w:val="LogoportDoNotTranslate"/>
                <w:rFonts w:asciiTheme="minorHAnsi" w:hAnsiTheme="minorHAnsi"/>
                <w:color w:val="0563C1"/>
                <w:sz w:val="14"/>
                <w:szCs w:val="14"/>
                <w:u w:val="single"/>
              </w:rPr>
              <w:t> </w:t>
            </w:r>
            <w:r w:rsidR="00E8112E"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E8112E" w:rsidRPr="006F0B13" w:rsidRDefault="00E8112E"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E8112E" w:rsidRPr="00D56852" w:rsidRDefault="00DF482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E8112E" w:rsidRPr="00D56852">
              <w:rPr>
                <w:rStyle w:val="LogoportDoNotTranslate"/>
                <w:rFonts w:asciiTheme="minorHAnsi" w:hAnsiTheme="minorHAnsi"/>
                <w:color w:val="0563C1"/>
                <w:sz w:val="14"/>
                <w:szCs w:val="14"/>
                <w:u w:val="single"/>
              </w:rPr>
              <w:t>Appendices</w:t>
            </w:r>
          </w:hyperlink>
        </w:p>
      </w:tc>
    </w:tr>
  </w:tbl>
  <w:p w14:paraId="6CF6B3C3" w14:textId="77777777" w:rsidR="00E8112E" w:rsidRDefault="00E8112E"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902EC" w14:textId="77777777" w:rsidR="00264C3C" w:rsidRDefault="00264C3C" w:rsidP="009A573F">
      <w:pPr>
        <w:spacing w:after="0" w:line="240" w:lineRule="auto"/>
      </w:pPr>
      <w:r>
        <w:separator/>
      </w:r>
    </w:p>
  </w:footnote>
  <w:footnote w:type="continuationSeparator" w:id="0">
    <w:p w14:paraId="5A8F21AD" w14:textId="77777777" w:rsidR="00264C3C" w:rsidRDefault="00264C3C" w:rsidP="009A573F">
      <w:pPr>
        <w:spacing w:after="0" w:line="240" w:lineRule="auto"/>
      </w:pPr>
      <w:r>
        <w:continuationSeparator/>
      </w:r>
    </w:p>
  </w:footnote>
  <w:footnote w:type="continuationNotice" w:id="1">
    <w:p w14:paraId="204D725E" w14:textId="77777777" w:rsidR="00264C3C" w:rsidRDefault="00264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0DB34" w14:textId="5A0646CA" w:rsidR="00E8112E" w:rsidRPr="00DC2685" w:rsidRDefault="00DF4828" w:rsidP="003C5DCA">
    <w:pPr>
      <w:pStyle w:val="ProductList-Body"/>
      <w:tabs>
        <w:tab w:val="clear" w:pos="360"/>
        <w:tab w:val="clear" w:pos="720"/>
        <w:tab w:val="clear" w:pos="1080"/>
        <w:tab w:val="center" w:pos="5040"/>
        <w:tab w:val="right" w:pos="10800"/>
      </w:tabs>
      <w:rPr>
        <w:vanish/>
        <w:sz w:val="22"/>
      </w:rPr>
    </w:pPr>
    <w:sdt>
      <w:sdtPr>
        <w:rPr>
          <w:sz w:val="16"/>
          <w:szCs w:val="16"/>
        </w:rPr>
        <w:id w:val="716710282"/>
        <w:docPartObj>
          <w:docPartGallery w:val="Page Numbers (Top of Page)"/>
          <w:docPartUnique/>
        </w:docPartObj>
      </w:sdtPr>
      <w:sdtEndPr/>
      <w:sdtContent>
        <w:r w:rsidR="00E8112E" w:rsidRPr="00F95148">
          <w:rPr>
            <w:sz w:val="15"/>
            <w:szCs w:val="15"/>
          </w:rPr>
          <w:t>Umowa dotycząca Poziomu Usług (SLA) dla Usług Online Microsoft w ramach programu Licencjonowania Zbiorowego Microsoft (</w:t>
        </w:r>
        <w:r w:rsidR="00E8112E" w:rsidRPr="00553C87">
          <w:rPr>
            <w:sz w:val="15"/>
            <w:szCs w:val="15"/>
          </w:rPr>
          <w:t xml:space="preserve">wersja polska, </w:t>
        </w:r>
        <w:r w:rsidR="00E8112E" w:rsidRPr="00C53A21">
          <w:rPr>
            <w:sz w:val="15"/>
            <w:szCs w:val="15"/>
          </w:rPr>
          <w:t>listopad</w:t>
        </w:r>
        <w:r w:rsidR="00E8112E">
          <w:rPr>
            <w:sz w:val="15"/>
            <w:szCs w:val="15"/>
          </w:rPr>
          <w:t xml:space="preserve"> </w:t>
        </w:r>
        <w:r w:rsidR="00E8112E">
          <w:rPr>
            <w:sz w:val="16"/>
            <w:szCs w:val="16"/>
          </w:rPr>
          <w:t xml:space="preserve">2020 </w:t>
        </w:r>
        <w:r w:rsidR="00E8112E" w:rsidRPr="00F95148">
          <w:rPr>
            <w:sz w:val="15"/>
            <w:szCs w:val="15"/>
          </w:rPr>
          <w:t>r.)</w:t>
        </w:r>
        <w:r w:rsidR="00E8112E">
          <w:rPr>
            <w:sz w:val="16"/>
            <w:szCs w:val="16"/>
          </w:rPr>
          <w:tab/>
        </w:r>
        <w:r w:rsidR="00E8112E">
          <w:rPr>
            <w:sz w:val="16"/>
            <w:szCs w:val="16"/>
          </w:rPr>
          <w:fldChar w:fldCharType="begin"/>
        </w:r>
        <w:r w:rsidR="00E8112E" w:rsidRPr="00A247F3">
          <w:rPr>
            <w:sz w:val="16"/>
            <w:szCs w:val="16"/>
          </w:rPr>
          <w:instrText xml:space="preserve"> PAGE </w:instrText>
        </w:r>
        <w:r w:rsidR="00E8112E">
          <w:rPr>
            <w:sz w:val="16"/>
            <w:szCs w:val="16"/>
          </w:rPr>
          <w:fldChar w:fldCharType="separate"/>
        </w:r>
        <w:r w:rsidR="00E8112E">
          <w:rPr>
            <w:sz w:val="16"/>
            <w:szCs w:val="16"/>
          </w:rPr>
          <w:t>2</w:t>
        </w:r>
        <w:r w:rsidR="00E8112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49B3E32" w:rsidR="00E8112E" w:rsidRPr="00DC2685" w:rsidRDefault="00DF4828"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E8112E" w:rsidRPr="00F95148">
          <w:rPr>
            <w:sz w:val="15"/>
            <w:szCs w:val="15"/>
          </w:rPr>
          <w:t>Umowa dotycząca Poziomu Usług (SLA) dla Usług Online Microsoft w ramach programu Licencjonowania Zbiorowego Microsoft (</w:t>
        </w:r>
        <w:r w:rsidR="00E8112E" w:rsidRPr="00553C87">
          <w:rPr>
            <w:sz w:val="15"/>
            <w:szCs w:val="15"/>
          </w:rPr>
          <w:t xml:space="preserve">wersja polska, </w:t>
        </w:r>
        <w:r w:rsidR="00E8112E" w:rsidRPr="00C53A21">
          <w:rPr>
            <w:sz w:val="15"/>
            <w:szCs w:val="15"/>
          </w:rPr>
          <w:t>listopad</w:t>
        </w:r>
        <w:r w:rsidR="00E8112E">
          <w:rPr>
            <w:sz w:val="15"/>
            <w:szCs w:val="15"/>
          </w:rPr>
          <w:t xml:space="preserve"> </w:t>
        </w:r>
        <w:r w:rsidR="00E8112E">
          <w:rPr>
            <w:sz w:val="16"/>
            <w:szCs w:val="16"/>
          </w:rPr>
          <w:t xml:space="preserve">2020 </w:t>
        </w:r>
        <w:r w:rsidR="00E8112E" w:rsidRPr="00F95148">
          <w:rPr>
            <w:sz w:val="15"/>
            <w:szCs w:val="15"/>
          </w:rPr>
          <w:t>r.)</w:t>
        </w:r>
        <w:r w:rsidR="00E8112E">
          <w:rPr>
            <w:sz w:val="16"/>
            <w:szCs w:val="16"/>
          </w:rPr>
          <w:tab/>
        </w:r>
        <w:r w:rsidR="00E8112E">
          <w:rPr>
            <w:sz w:val="16"/>
            <w:szCs w:val="16"/>
          </w:rPr>
          <w:fldChar w:fldCharType="begin"/>
        </w:r>
        <w:r w:rsidR="00E8112E" w:rsidRPr="00A247F3">
          <w:rPr>
            <w:sz w:val="16"/>
            <w:szCs w:val="16"/>
          </w:rPr>
          <w:instrText xml:space="preserve"> PAGE </w:instrText>
        </w:r>
        <w:r w:rsidR="00E8112E">
          <w:rPr>
            <w:sz w:val="16"/>
            <w:szCs w:val="16"/>
          </w:rPr>
          <w:fldChar w:fldCharType="separate"/>
        </w:r>
        <w:r w:rsidR="00E8112E">
          <w:rPr>
            <w:noProof/>
            <w:sz w:val="16"/>
            <w:szCs w:val="16"/>
          </w:rPr>
          <w:t>2</w:t>
        </w:r>
        <w:r w:rsidR="00E8112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AoHoayS440RJDbJCwissV8GN7VtHoU/mnBhANqH92ebYkV9sE/3qE3HbaiAPKyMyuBM9NlUbuHu6rbIN4O+VIQ==" w:salt="0qV3Sduhs1J1kFjWCSlI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4828"/>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11179</Words>
  <Characters>63721</Characters>
  <Application>Microsoft Office Word</Application>
  <DocSecurity>8</DocSecurity>
  <Lines>531</Lines>
  <Paragraphs>149</Paragraphs>
  <ScaleCrop>false</ScaleCrop>
  <LinksUpToDate>false</LinksUpToDate>
  <CharactersWithSpaces>74751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2020-10-30T15:55:00Z</dcterms:created>
  <dcterms:modified xsi:type="dcterms:W3CDTF">2020-10-30T15:55:00Z</dcterms:modified>
</cp:coreProperties>
</file>