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5C07F269" w:rsidR="00F96DD1" w:rsidRPr="008D18AF" w:rsidRDefault="00C10EA1"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B75ADE">
        <w:rPr>
          <w:rFonts w:asciiTheme="majorHAnsi" w:hAnsiTheme="majorHAnsi"/>
          <w:color w:val="FFFFFF" w:themeColor="background1"/>
          <w:sz w:val="72"/>
          <w:szCs w:val="72"/>
        </w:rPr>
        <w:t>Haziran</w:t>
      </w:r>
      <w:r>
        <w:rPr>
          <w:rFonts w:asciiTheme="majorHAnsi" w:hAnsiTheme="majorHAnsi"/>
          <w:color w:val="FFFFFF" w:themeColor="background1"/>
          <w:sz w:val="72"/>
          <w:szCs w:val="72"/>
        </w:rPr>
        <w:t xml:space="preserve"> 2022</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537008"/>
      <w:r w:rsidRPr="00D53DAF">
        <w:lastRenderedPageBreak/>
        <w:t>İçindekiler</w:t>
      </w:r>
      <w:bookmarkEnd w:id="2"/>
      <w:bookmarkEnd w:id="3"/>
    </w:p>
    <w:p w14:paraId="7BCA34B8" w14:textId="02EBED0C" w:rsidR="002D0DF9"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04537008" w:history="1">
        <w:r w:rsidR="002D0DF9" w:rsidRPr="00852F20">
          <w:rPr>
            <w:rStyle w:val="Hyperlink"/>
            <w:noProof/>
          </w:rPr>
          <w:t>İçindekiler</w:t>
        </w:r>
        <w:r w:rsidR="002D0DF9">
          <w:rPr>
            <w:noProof/>
            <w:webHidden/>
          </w:rPr>
          <w:tab/>
        </w:r>
        <w:r w:rsidR="002D0DF9">
          <w:rPr>
            <w:noProof/>
            <w:webHidden/>
          </w:rPr>
          <w:fldChar w:fldCharType="begin"/>
        </w:r>
        <w:r w:rsidR="002D0DF9">
          <w:rPr>
            <w:noProof/>
            <w:webHidden/>
          </w:rPr>
          <w:instrText xml:space="preserve"> PAGEREF _Toc104537008 \h </w:instrText>
        </w:r>
        <w:r w:rsidR="002D0DF9">
          <w:rPr>
            <w:noProof/>
            <w:webHidden/>
          </w:rPr>
        </w:r>
        <w:r w:rsidR="002D0DF9">
          <w:rPr>
            <w:noProof/>
            <w:webHidden/>
          </w:rPr>
          <w:fldChar w:fldCharType="separate"/>
        </w:r>
        <w:r w:rsidR="002D0DF9">
          <w:rPr>
            <w:noProof/>
            <w:webHidden/>
          </w:rPr>
          <w:t>2</w:t>
        </w:r>
        <w:r w:rsidR="002D0DF9">
          <w:rPr>
            <w:noProof/>
            <w:webHidden/>
          </w:rPr>
          <w:fldChar w:fldCharType="end"/>
        </w:r>
      </w:hyperlink>
    </w:p>
    <w:p w14:paraId="17557BC5" w14:textId="62C2EA89" w:rsidR="002D0DF9" w:rsidRDefault="007A6E55">
      <w:pPr>
        <w:pStyle w:val="TOC1"/>
        <w:tabs>
          <w:tab w:val="right" w:leader="dot" w:pos="5030"/>
        </w:tabs>
        <w:rPr>
          <w:rFonts w:eastAsiaTheme="minorEastAsia"/>
          <w:b w:val="0"/>
          <w:caps w:val="0"/>
          <w:noProof/>
          <w:sz w:val="22"/>
          <w:lang w:val="en-US" w:eastAsia="en-US" w:bidi="ar-SA"/>
        </w:rPr>
      </w:pPr>
      <w:hyperlink w:anchor="_Toc104537009" w:history="1">
        <w:r w:rsidR="002D0DF9" w:rsidRPr="00852F20">
          <w:rPr>
            <w:rStyle w:val="Hyperlink"/>
            <w:noProof/>
          </w:rPr>
          <w:t>Giriş</w:t>
        </w:r>
        <w:r w:rsidR="002D0DF9">
          <w:rPr>
            <w:noProof/>
            <w:webHidden/>
          </w:rPr>
          <w:tab/>
        </w:r>
        <w:r w:rsidR="002D0DF9">
          <w:rPr>
            <w:noProof/>
            <w:webHidden/>
          </w:rPr>
          <w:fldChar w:fldCharType="begin"/>
        </w:r>
        <w:r w:rsidR="002D0DF9">
          <w:rPr>
            <w:noProof/>
            <w:webHidden/>
          </w:rPr>
          <w:instrText xml:space="preserve"> PAGEREF _Toc104537009 \h </w:instrText>
        </w:r>
        <w:r w:rsidR="002D0DF9">
          <w:rPr>
            <w:noProof/>
            <w:webHidden/>
          </w:rPr>
        </w:r>
        <w:r w:rsidR="002D0DF9">
          <w:rPr>
            <w:noProof/>
            <w:webHidden/>
          </w:rPr>
          <w:fldChar w:fldCharType="separate"/>
        </w:r>
        <w:r w:rsidR="002D0DF9">
          <w:rPr>
            <w:noProof/>
            <w:webHidden/>
          </w:rPr>
          <w:t>3</w:t>
        </w:r>
        <w:r w:rsidR="002D0DF9">
          <w:rPr>
            <w:noProof/>
            <w:webHidden/>
          </w:rPr>
          <w:fldChar w:fldCharType="end"/>
        </w:r>
      </w:hyperlink>
    </w:p>
    <w:p w14:paraId="4579F109" w14:textId="07CD2941" w:rsidR="002D0DF9" w:rsidRDefault="007A6E55">
      <w:pPr>
        <w:pStyle w:val="TOC1"/>
        <w:tabs>
          <w:tab w:val="right" w:leader="dot" w:pos="5030"/>
        </w:tabs>
        <w:rPr>
          <w:rFonts w:eastAsiaTheme="minorEastAsia"/>
          <w:b w:val="0"/>
          <w:caps w:val="0"/>
          <w:noProof/>
          <w:sz w:val="22"/>
          <w:lang w:val="en-US" w:eastAsia="en-US" w:bidi="ar-SA"/>
        </w:rPr>
      </w:pPr>
      <w:hyperlink w:anchor="_Toc104537010" w:history="1">
        <w:r w:rsidR="002D0DF9" w:rsidRPr="00852F20">
          <w:rPr>
            <w:rStyle w:val="Hyperlink"/>
            <w:noProof/>
          </w:rPr>
          <w:t>Genel Hükümler</w:t>
        </w:r>
        <w:r w:rsidR="002D0DF9">
          <w:rPr>
            <w:noProof/>
            <w:webHidden/>
          </w:rPr>
          <w:tab/>
        </w:r>
        <w:r w:rsidR="002D0DF9">
          <w:rPr>
            <w:noProof/>
            <w:webHidden/>
          </w:rPr>
          <w:fldChar w:fldCharType="begin"/>
        </w:r>
        <w:r w:rsidR="002D0DF9">
          <w:rPr>
            <w:noProof/>
            <w:webHidden/>
          </w:rPr>
          <w:instrText xml:space="preserve"> PAGEREF _Toc104537010 \h </w:instrText>
        </w:r>
        <w:r w:rsidR="002D0DF9">
          <w:rPr>
            <w:noProof/>
            <w:webHidden/>
          </w:rPr>
        </w:r>
        <w:r w:rsidR="002D0DF9">
          <w:rPr>
            <w:noProof/>
            <w:webHidden/>
          </w:rPr>
          <w:fldChar w:fldCharType="separate"/>
        </w:r>
        <w:r w:rsidR="002D0DF9">
          <w:rPr>
            <w:noProof/>
            <w:webHidden/>
          </w:rPr>
          <w:t>4</w:t>
        </w:r>
        <w:r w:rsidR="002D0DF9">
          <w:rPr>
            <w:noProof/>
            <w:webHidden/>
          </w:rPr>
          <w:fldChar w:fldCharType="end"/>
        </w:r>
      </w:hyperlink>
    </w:p>
    <w:p w14:paraId="7220B025" w14:textId="4783C50E" w:rsidR="002D0DF9" w:rsidRDefault="007A6E55">
      <w:pPr>
        <w:pStyle w:val="TOC1"/>
        <w:tabs>
          <w:tab w:val="right" w:leader="dot" w:pos="5030"/>
        </w:tabs>
        <w:rPr>
          <w:rFonts w:eastAsiaTheme="minorEastAsia"/>
          <w:b w:val="0"/>
          <w:caps w:val="0"/>
          <w:noProof/>
          <w:sz w:val="22"/>
          <w:lang w:val="en-US" w:eastAsia="en-US" w:bidi="ar-SA"/>
        </w:rPr>
      </w:pPr>
      <w:hyperlink w:anchor="_Toc104537011" w:history="1">
        <w:r w:rsidR="002D0DF9" w:rsidRPr="00852F20">
          <w:rPr>
            <w:rStyle w:val="Hyperlink"/>
            <w:noProof/>
          </w:rPr>
          <w:t>Hizmete Özel Koşullar</w:t>
        </w:r>
        <w:r w:rsidR="002D0DF9">
          <w:rPr>
            <w:noProof/>
            <w:webHidden/>
          </w:rPr>
          <w:tab/>
        </w:r>
        <w:r w:rsidR="002D0DF9">
          <w:rPr>
            <w:noProof/>
            <w:webHidden/>
          </w:rPr>
          <w:fldChar w:fldCharType="begin"/>
        </w:r>
        <w:r w:rsidR="002D0DF9">
          <w:rPr>
            <w:noProof/>
            <w:webHidden/>
          </w:rPr>
          <w:instrText xml:space="preserve"> PAGEREF _Toc104537011 \h </w:instrText>
        </w:r>
        <w:r w:rsidR="002D0DF9">
          <w:rPr>
            <w:noProof/>
            <w:webHidden/>
          </w:rPr>
        </w:r>
        <w:r w:rsidR="002D0DF9">
          <w:rPr>
            <w:noProof/>
            <w:webHidden/>
          </w:rPr>
          <w:fldChar w:fldCharType="separate"/>
        </w:r>
        <w:r w:rsidR="002D0DF9">
          <w:rPr>
            <w:noProof/>
            <w:webHidden/>
          </w:rPr>
          <w:t>6</w:t>
        </w:r>
        <w:r w:rsidR="002D0DF9">
          <w:rPr>
            <w:noProof/>
            <w:webHidden/>
          </w:rPr>
          <w:fldChar w:fldCharType="end"/>
        </w:r>
      </w:hyperlink>
    </w:p>
    <w:p w14:paraId="6B127F63" w14:textId="48F134D1" w:rsidR="002D0DF9" w:rsidRDefault="007A6E55">
      <w:pPr>
        <w:pStyle w:val="TOC2"/>
        <w:tabs>
          <w:tab w:val="right" w:leader="dot" w:pos="5030"/>
        </w:tabs>
        <w:rPr>
          <w:rFonts w:eastAsiaTheme="minorEastAsia"/>
          <w:b w:val="0"/>
          <w:smallCaps w:val="0"/>
          <w:noProof/>
          <w:sz w:val="22"/>
          <w:lang w:val="en-US" w:eastAsia="en-US" w:bidi="ar-SA"/>
        </w:rPr>
      </w:pPr>
      <w:hyperlink w:anchor="_Toc104537012" w:history="1">
        <w:r w:rsidR="002D0DF9" w:rsidRPr="00852F20">
          <w:rPr>
            <w:rStyle w:val="Hyperlink"/>
            <w:noProof/>
          </w:rPr>
          <w:t>Microsoft Dynamics 365</w:t>
        </w:r>
        <w:r w:rsidR="002D0DF9">
          <w:rPr>
            <w:noProof/>
            <w:webHidden/>
          </w:rPr>
          <w:tab/>
        </w:r>
        <w:r w:rsidR="002D0DF9">
          <w:rPr>
            <w:noProof/>
            <w:webHidden/>
          </w:rPr>
          <w:fldChar w:fldCharType="begin"/>
        </w:r>
        <w:r w:rsidR="002D0DF9">
          <w:rPr>
            <w:noProof/>
            <w:webHidden/>
          </w:rPr>
          <w:instrText xml:space="preserve"> PAGEREF _Toc104537012 \h </w:instrText>
        </w:r>
        <w:r w:rsidR="002D0DF9">
          <w:rPr>
            <w:noProof/>
            <w:webHidden/>
          </w:rPr>
        </w:r>
        <w:r w:rsidR="002D0DF9">
          <w:rPr>
            <w:noProof/>
            <w:webHidden/>
          </w:rPr>
          <w:fldChar w:fldCharType="separate"/>
        </w:r>
        <w:r w:rsidR="002D0DF9">
          <w:rPr>
            <w:noProof/>
            <w:webHidden/>
          </w:rPr>
          <w:t>6</w:t>
        </w:r>
        <w:r w:rsidR="002D0DF9">
          <w:rPr>
            <w:noProof/>
            <w:webHidden/>
          </w:rPr>
          <w:fldChar w:fldCharType="end"/>
        </w:r>
      </w:hyperlink>
    </w:p>
    <w:p w14:paraId="3FADF439" w14:textId="3DD82564" w:rsidR="002D0DF9" w:rsidRDefault="007A6E55">
      <w:pPr>
        <w:pStyle w:val="TOC4"/>
        <w:tabs>
          <w:tab w:val="right" w:leader="dot" w:pos="5030"/>
        </w:tabs>
        <w:rPr>
          <w:rFonts w:eastAsiaTheme="minorEastAsia"/>
          <w:smallCaps w:val="0"/>
          <w:noProof/>
          <w:sz w:val="22"/>
          <w:lang w:val="en-US" w:eastAsia="en-US" w:bidi="ar-SA"/>
        </w:rPr>
      </w:pPr>
      <w:hyperlink w:anchor="_Toc104537013" w:history="1">
        <w:r w:rsidR="002D0DF9" w:rsidRPr="00852F20">
          <w:rPr>
            <w:rStyle w:val="Hyperlink"/>
            <w:noProof/>
          </w:rPr>
          <w:t>Dynamics 365 Business Central</w:t>
        </w:r>
        <w:r w:rsidR="002D0DF9">
          <w:rPr>
            <w:noProof/>
            <w:webHidden/>
          </w:rPr>
          <w:tab/>
        </w:r>
        <w:r w:rsidR="002D0DF9">
          <w:rPr>
            <w:noProof/>
            <w:webHidden/>
          </w:rPr>
          <w:fldChar w:fldCharType="begin"/>
        </w:r>
        <w:r w:rsidR="002D0DF9">
          <w:rPr>
            <w:noProof/>
            <w:webHidden/>
          </w:rPr>
          <w:instrText xml:space="preserve"> PAGEREF _Toc104537013 \h </w:instrText>
        </w:r>
        <w:r w:rsidR="002D0DF9">
          <w:rPr>
            <w:noProof/>
            <w:webHidden/>
          </w:rPr>
        </w:r>
        <w:r w:rsidR="002D0DF9">
          <w:rPr>
            <w:noProof/>
            <w:webHidden/>
          </w:rPr>
          <w:fldChar w:fldCharType="separate"/>
        </w:r>
        <w:r w:rsidR="002D0DF9">
          <w:rPr>
            <w:noProof/>
            <w:webHidden/>
          </w:rPr>
          <w:t>6</w:t>
        </w:r>
        <w:r w:rsidR="002D0DF9">
          <w:rPr>
            <w:noProof/>
            <w:webHidden/>
          </w:rPr>
          <w:fldChar w:fldCharType="end"/>
        </w:r>
      </w:hyperlink>
    </w:p>
    <w:p w14:paraId="0F7F00E8" w14:textId="5019DA46" w:rsidR="002D0DF9" w:rsidRDefault="007A6E55">
      <w:pPr>
        <w:pStyle w:val="TOC4"/>
        <w:tabs>
          <w:tab w:val="right" w:leader="dot" w:pos="5030"/>
        </w:tabs>
        <w:rPr>
          <w:rFonts w:eastAsiaTheme="minorEastAsia"/>
          <w:smallCaps w:val="0"/>
          <w:noProof/>
          <w:sz w:val="22"/>
          <w:lang w:val="en-US" w:eastAsia="en-US" w:bidi="ar-SA"/>
        </w:rPr>
      </w:pPr>
      <w:hyperlink w:anchor="_Toc104537014" w:history="1">
        <w:r w:rsidR="002D0DF9" w:rsidRPr="00852F20">
          <w:rPr>
            <w:rStyle w:val="Hyperlink"/>
            <w:noProof/>
          </w:rPr>
          <w:t>Dynamics 365 Commerce</w:t>
        </w:r>
        <w:r w:rsidR="002D0DF9">
          <w:rPr>
            <w:noProof/>
            <w:webHidden/>
          </w:rPr>
          <w:tab/>
        </w:r>
        <w:r w:rsidR="002D0DF9">
          <w:rPr>
            <w:noProof/>
            <w:webHidden/>
          </w:rPr>
          <w:fldChar w:fldCharType="begin"/>
        </w:r>
        <w:r w:rsidR="002D0DF9">
          <w:rPr>
            <w:noProof/>
            <w:webHidden/>
          </w:rPr>
          <w:instrText xml:space="preserve"> PAGEREF _Toc104537014 \h </w:instrText>
        </w:r>
        <w:r w:rsidR="002D0DF9">
          <w:rPr>
            <w:noProof/>
            <w:webHidden/>
          </w:rPr>
        </w:r>
        <w:r w:rsidR="002D0DF9">
          <w:rPr>
            <w:noProof/>
            <w:webHidden/>
          </w:rPr>
          <w:fldChar w:fldCharType="separate"/>
        </w:r>
        <w:r w:rsidR="002D0DF9">
          <w:rPr>
            <w:noProof/>
            <w:webHidden/>
          </w:rPr>
          <w:t>6</w:t>
        </w:r>
        <w:r w:rsidR="002D0DF9">
          <w:rPr>
            <w:noProof/>
            <w:webHidden/>
          </w:rPr>
          <w:fldChar w:fldCharType="end"/>
        </w:r>
      </w:hyperlink>
    </w:p>
    <w:p w14:paraId="165281BA" w14:textId="5481EE2F" w:rsidR="002D0DF9" w:rsidRDefault="007A6E55">
      <w:pPr>
        <w:pStyle w:val="TOC4"/>
        <w:tabs>
          <w:tab w:val="right" w:leader="dot" w:pos="5030"/>
        </w:tabs>
        <w:rPr>
          <w:rFonts w:eastAsiaTheme="minorEastAsia"/>
          <w:smallCaps w:val="0"/>
          <w:noProof/>
          <w:sz w:val="22"/>
          <w:lang w:val="en-US" w:eastAsia="en-US" w:bidi="ar-SA"/>
        </w:rPr>
      </w:pPr>
      <w:hyperlink w:anchor="_Toc104537015" w:history="1">
        <w:r w:rsidR="002D0DF9" w:rsidRPr="00852F20">
          <w:rPr>
            <w:rStyle w:val="Hyperlink"/>
            <w:noProof/>
          </w:rPr>
          <w:t>Dynamics 365 Customer Insights</w:t>
        </w:r>
        <w:r w:rsidR="002D0DF9">
          <w:rPr>
            <w:noProof/>
            <w:webHidden/>
          </w:rPr>
          <w:tab/>
        </w:r>
        <w:r w:rsidR="002D0DF9">
          <w:rPr>
            <w:noProof/>
            <w:webHidden/>
          </w:rPr>
          <w:fldChar w:fldCharType="begin"/>
        </w:r>
        <w:r w:rsidR="002D0DF9">
          <w:rPr>
            <w:noProof/>
            <w:webHidden/>
          </w:rPr>
          <w:instrText xml:space="preserve"> PAGEREF _Toc104537015 \h </w:instrText>
        </w:r>
        <w:r w:rsidR="002D0DF9">
          <w:rPr>
            <w:noProof/>
            <w:webHidden/>
          </w:rPr>
        </w:r>
        <w:r w:rsidR="002D0DF9">
          <w:rPr>
            <w:noProof/>
            <w:webHidden/>
          </w:rPr>
          <w:fldChar w:fldCharType="separate"/>
        </w:r>
        <w:r w:rsidR="002D0DF9">
          <w:rPr>
            <w:noProof/>
            <w:webHidden/>
          </w:rPr>
          <w:t>7</w:t>
        </w:r>
        <w:r w:rsidR="002D0DF9">
          <w:rPr>
            <w:noProof/>
            <w:webHidden/>
          </w:rPr>
          <w:fldChar w:fldCharType="end"/>
        </w:r>
      </w:hyperlink>
    </w:p>
    <w:p w14:paraId="76476DF2" w14:textId="76495523" w:rsidR="002D0DF9" w:rsidRDefault="007A6E55">
      <w:pPr>
        <w:pStyle w:val="TOC4"/>
        <w:tabs>
          <w:tab w:val="right" w:leader="dot" w:pos="5030"/>
        </w:tabs>
        <w:rPr>
          <w:rFonts w:eastAsiaTheme="minorEastAsia"/>
          <w:smallCaps w:val="0"/>
          <w:noProof/>
          <w:sz w:val="22"/>
          <w:lang w:val="en-US" w:eastAsia="en-US" w:bidi="ar-SA"/>
        </w:rPr>
      </w:pPr>
      <w:hyperlink w:anchor="_Toc104537016" w:history="1">
        <w:r w:rsidR="002D0DF9" w:rsidRPr="00852F20">
          <w:rPr>
            <w:rStyle w:val="Hyperlink"/>
            <w:noProof/>
          </w:rPr>
          <w:t xml:space="preserve">Dynamics 365 Customer Service Enterprise; Dynamics 365 Customer Service Professional; Dynamics 365 Customer Service Insights; </w:t>
        </w:r>
        <w:r w:rsidR="002D0DF9" w:rsidRPr="00852F20">
          <w:rPr>
            <w:rStyle w:val="Hyperlink"/>
            <w:noProof/>
            <w:lang w:val="en-US"/>
          </w:rPr>
          <w:t>Dynamics 365 Field Service; Dynamics 365 Marketing</w:t>
        </w:r>
        <w:r w:rsidR="002D0DF9">
          <w:rPr>
            <w:noProof/>
            <w:webHidden/>
          </w:rPr>
          <w:tab/>
        </w:r>
        <w:r w:rsidR="002D0DF9">
          <w:rPr>
            <w:noProof/>
            <w:webHidden/>
          </w:rPr>
          <w:fldChar w:fldCharType="begin"/>
        </w:r>
        <w:r w:rsidR="002D0DF9">
          <w:rPr>
            <w:noProof/>
            <w:webHidden/>
          </w:rPr>
          <w:instrText xml:space="preserve"> PAGEREF _Toc104537016 \h </w:instrText>
        </w:r>
        <w:r w:rsidR="002D0DF9">
          <w:rPr>
            <w:noProof/>
            <w:webHidden/>
          </w:rPr>
        </w:r>
        <w:r w:rsidR="002D0DF9">
          <w:rPr>
            <w:noProof/>
            <w:webHidden/>
          </w:rPr>
          <w:fldChar w:fldCharType="separate"/>
        </w:r>
        <w:r w:rsidR="002D0DF9">
          <w:rPr>
            <w:noProof/>
            <w:webHidden/>
          </w:rPr>
          <w:t>7</w:t>
        </w:r>
        <w:r w:rsidR="002D0DF9">
          <w:rPr>
            <w:noProof/>
            <w:webHidden/>
          </w:rPr>
          <w:fldChar w:fldCharType="end"/>
        </w:r>
      </w:hyperlink>
    </w:p>
    <w:p w14:paraId="2D51D1A7" w14:textId="6AB4CFF5" w:rsidR="002D0DF9" w:rsidRDefault="007A6E55">
      <w:pPr>
        <w:pStyle w:val="TOC4"/>
        <w:tabs>
          <w:tab w:val="right" w:leader="dot" w:pos="5030"/>
        </w:tabs>
        <w:rPr>
          <w:rFonts w:eastAsiaTheme="minorEastAsia"/>
          <w:smallCaps w:val="0"/>
          <w:noProof/>
          <w:sz w:val="22"/>
          <w:lang w:val="en-US" w:eastAsia="en-US" w:bidi="ar-SA"/>
        </w:rPr>
      </w:pPr>
      <w:hyperlink w:anchor="_Toc104537017" w:history="1">
        <w:r w:rsidR="002D0DF9" w:rsidRPr="00852F20">
          <w:rPr>
            <w:rStyle w:val="Hyperlink"/>
            <w:noProof/>
          </w:rPr>
          <w:t>Dynamics 365 Fraud Protection</w:t>
        </w:r>
        <w:r w:rsidR="002D0DF9">
          <w:rPr>
            <w:noProof/>
            <w:webHidden/>
          </w:rPr>
          <w:tab/>
        </w:r>
        <w:r w:rsidR="002D0DF9">
          <w:rPr>
            <w:noProof/>
            <w:webHidden/>
          </w:rPr>
          <w:fldChar w:fldCharType="begin"/>
        </w:r>
        <w:r w:rsidR="002D0DF9">
          <w:rPr>
            <w:noProof/>
            <w:webHidden/>
          </w:rPr>
          <w:instrText xml:space="preserve"> PAGEREF _Toc104537017 \h </w:instrText>
        </w:r>
        <w:r w:rsidR="002D0DF9">
          <w:rPr>
            <w:noProof/>
            <w:webHidden/>
          </w:rPr>
        </w:r>
        <w:r w:rsidR="002D0DF9">
          <w:rPr>
            <w:noProof/>
            <w:webHidden/>
          </w:rPr>
          <w:fldChar w:fldCharType="separate"/>
        </w:r>
        <w:r w:rsidR="002D0DF9">
          <w:rPr>
            <w:noProof/>
            <w:webHidden/>
          </w:rPr>
          <w:t>7</w:t>
        </w:r>
        <w:r w:rsidR="002D0DF9">
          <w:rPr>
            <w:noProof/>
            <w:webHidden/>
          </w:rPr>
          <w:fldChar w:fldCharType="end"/>
        </w:r>
      </w:hyperlink>
    </w:p>
    <w:p w14:paraId="36E4CD82" w14:textId="224066AF" w:rsidR="002D0DF9" w:rsidRDefault="007A6E55">
      <w:pPr>
        <w:pStyle w:val="TOC4"/>
        <w:tabs>
          <w:tab w:val="right" w:leader="dot" w:pos="5030"/>
        </w:tabs>
        <w:rPr>
          <w:rFonts w:eastAsiaTheme="minorEastAsia"/>
          <w:smallCaps w:val="0"/>
          <w:noProof/>
          <w:sz w:val="22"/>
          <w:lang w:val="en-US" w:eastAsia="en-US" w:bidi="ar-SA"/>
        </w:rPr>
      </w:pPr>
      <w:hyperlink w:anchor="_Toc104537018" w:history="1">
        <w:r w:rsidR="002D0DF9" w:rsidRPr="00852F20">
          <w:rPr>
            <w:rStyle w:val="Hyperlink"/>
            <w:noProof/>
          </w:rPr>
          <w:t>Dynamics 365 Kılavuzları</w:t>
        </w:r>
        <w:r w:rsidR="002D0DF9">
          <w:rPr>
            <w:noProof/>
            <w:webHidden/>
          </w:rPr>
          <w:tab/>
        </w:r>
        <w:r w:rsidR="002D0DF9">
          <w:rPr>
            <w:noProof/>
            <w:webHidden/>
          </w:rPr>
          <w:fldChar w:fldCharType="begin"/>
        </w:r>
        <w:r w:rsidR="002D0DF9">
          <w:rPr>
            <w:noProof/>
            <w:webHidden/>
          </w:rPr>
          <w:instrText xml:space="preserve"> PAGEREF _Toc104537018 \h </w:instrText>
        </w:r>
        <w:r w:rsidR="002D0DF9">
          <w:rPr>
            <w:noProof/>
            <w:webHidden/>
          </w:rPr>
        </w:r>
        <w:r w:rsidR="002D0DF9">
          <w:rPr>
            <w:noProof/>
            <w:webHidden/>
          </w:rPr>
          <w:fldChar w:fldCharType="separate"/>
        </w:r>
        <w:r w:rsidR="002D0DF9">
          <w:rPr>
            <w:noProof/>
            <w:webHidden/>
          </w:rPr>
          <w:t>8</w:t>
        </w:r>
        <w:r w:rsidR="002D0DF9">
          <w:rPr>
            <w:noProof/>
            <w:webHidden/>
          </w:rPr>
          <w:fldChar w:fldCharType="end"/>
        </w:r>
      </w:hyperlink>
    </w:p>
    <w:p w14:paraId="02ACC5E7" w14:textId="7F0098B9" w:rsidR="002D0DF9" w:rsidRDefault="007A6E55">
      <w:pPr>
        <w:pStyle w:val="TOC4"/>
        <w:tabs>
          <w:tab w:val="right" w:leader="dot" w:pos="5030"/>
        </w:tabs>
        <w:rPr>
          <w:rFonts w:eastAsiaTheme="minorEastAsia"/>
          <w:smallCaps w:val="0"/>
          <w:noProof/>
          <w:sz w:val="22"/>
          <w:lang w:val="en-US" w:eastAsia="en-US" w:bidi="ar-SA"/>
        </w:rPr>
      </w:pPr>
      <w:hyperlink w:anchor="_Toc104537019" w:history="1">
        <w:r w:rsidR="002D0DF9" w:rsidRPr="00852F20">
          <w:rPr>
            <w:rStyle w:val="Hyperlink"/>
            <w:noProof/>
          </w:rPr>
          <w:t>Dynamics 365 Human Resources</w:t>
        </w:r>
        <w:r w:rsidR="002D0DF9">
          <w:rPr>
            <w:noProof/>
            <w:webHidden/>
          </w:rPr>
          <w:tab/>
        </w:r>
        <w:r w:rsidR="002D0DF9">
          <w:rPr>
            <w:noProof/>
            <w:webHidden/>
          </w:rPr>
          <w:fldChar w:fldCharType="begin"/>
        </w:r>
        <w:r w:rsidR="002D0DF9">
          <w:rPr>
            <w:noProof/>
            <w:webHidden/>
          </w:rPr>
          <w:instrText xml:space="preserve"> PAGEREF _Toc104537019 \h </w:instrText>
        </w:r>
        <w:r w:rsidR="002D0DF9">
          <w:rPr>
            <w:noProof/>
            <w:webHidden/>
          </w:rPr>
        </w:r>
        <w:r w:rsidR="002D0DF9">
          <w:rPr>
            <w:noProof/>
            <w:webHidden/>
          </w:rPr>
          <w:fldChar w:fldCharType="separate"/>
        </w:r>
        <w:r w:rsidR="002D0DF9">
          <w:rPr>
            <w:noProof/>
            <w:webHidden/>
          </w:rPr>
          <w:t>8</w:t>
        </w:r>
        <w:r w:rsidR="002D0DF9">
          <w:rPr>
            <w:noProof/>
            <w:webHidden/>
          </w:rPr>
          <w:fldChar w:fldCharType="end"/>
        </w:r>
      </w:hyperlink>
    </w:p>
    <w:p w14:paraId="3930E1F2" w14:textId="29AE2004" w:rsidR="002D0DF9" w:rsidRDefault="007A6E55">
      <w:pPr>
        <w:pStyle w:val="TOC4"/>
        <w:tabs>
          <w:tab w:val="right" w:leader="dot" w:pos="5030"/>
        </w:tabs>
        <w:rPr>
          <w:rFonts w:eastAsiaTheme="minorEastAsia"/>
          <w:smallCaps w:val="0"/>
          <w:noProof/>
          <w:sz w:val="22"/>
          <w:lang w:val="en-US" w:eastAsia="en-US" w:bidi="ar-SA"/>
        </w:rPr>
      </w:pPr>
      <w:hyperlink w:anchor="_Toc104537020" w:history="1">
        <w:r w:rsidR="002D0DF9" w:rsidRPr="00852F20">
          <w:rPr>
            <w:rStyle w:val="Hyperlink"/>
            <w:noProof/>
          </w:rPr>
          <w:t>Dynamics 365 Intelligent Order Management</w:t>
        </w:r>
        <w:r w:rsidR="002D0DF9">
          <w:rPr>
            <w:noProof/>
            <w:webHidden/>
          </w:rPr>
          <w:tab/>
        </w:r>
        <w:r w:rsidR="002D0DF9">
          <w:rPr>
            <w:noProof/>
            <w:webHidden/>
          </w:rPr>
          <w:fldChar w:fldCharType="begin"/>
        </w:r>
        <w:r w:rsidR="002D0DF9">
          <w:rPr>
            <w:noProof/>
            <w:webHidden/>
          </w:rPr>
          <w:instrText xml:space="preserve"> PAGEREF _Toc104537020 \h </w:instrText>
        </w:r>
        <w:r w:rsidR="002D0DF9">
          <w:rPr>
            <w:noProof/>
            <w:webHidden/>
          </w:rPr>
        </w:r>
        <w:r w:rsidR="002D0DF9">
          <w:rPr>
            <w:noProof/>
            <w:webHidden/>
          </w:rPr>
          <w:fldChar w:fldCharType="separate"/>
        </w:r>
        <w:r w:rsidR="002D0DF9">
          <w:rPr>
            <w:noProof/>
            <w:webHidden/>
          </w:rPr>
          <w:t>8</w:t>
        </w:r>
        <w:r w:rsidR="002D0DF9">
          <w:rPr>
            <w:noProof/>
            <w:webHidden/>
          </w:rPr>
          <w:fldChar w:fldCharType="end"/>
        </w:r>
      </w:hyperlink>
    </w:p>
    <w:p w14:paraId="2358CF25" w14:textId="0E74E8F1" w:rsidR="002D0DF9" w:rsidRDefault="007A6E55">
      <w:pPr>
        <w:pStyle w:val="TOC4"/>
        <w:tabs>
          <w:tab w:val="right" w:leader="dot" w:pos="5030"/>
        </w:tabs>
        <w:rPr>
          <w:rFonts w:eastAsiaTheme="minorEastAsia"/>
          <w:smallCaps w:val="0"/>
          <w:noProof/>
          <w:sz w:val="22"/>
          <w:lang w:val="en-US" w:eastAsia="en-US" w:bidi="ar-SA"/>
        </w:rPr>
      </w:pPr>
      <w:hyperlink w:anchor="_Toc104537021" w:history="1">
        <w:r w:rsidR="002D0DF9" w:rsidRPr="00852F20">
          <w:rPr>
            <w:rStyle w:val="Hyperlink"/>
            <w:noProof/>
          </w:rPr>
          <w:t>Dynamics 365 Remote Assist</w:t>
        </w:r>
        <w:r w:rsidR="002D0DF9">
          <w:rPr>
            <w:noProof/>
            <w:webHidden/>
          </w:rPr>
          <w:tab/>
        </w:r>
        <w:r w:rsidR="002D0DF9">
          <w:rPr>
            <w:noProof/>
            <w:webHidden/>
          </w:rPr>
          <w:fldChar w:fldCharType="begin"/>
        </w:r>
        <w:r w:rsidR="002D0DF9">
          <w:rPr>
            <w:noProof/>
            <w:webHidden/>
          </w:rPr>
          <w:instrText xml:space="preserve"> PAGEREF _Toc104537021 \h </w:instrText>
        </w:r>
        <w:r w:rsidR="002D0DF9">
          <w:rPr>
            <w:noProof/>
            <w:webHidden/>
          </w:rPr>
        </w:r>
        <w:r w:rsidR="002D0DF9">
          <w:rPr>
            <w:noProof/>
            <w:webHidden/>
          </w:rPr>
          <w:fldChar w:fldCharType="separate"/>
        </w:r>
        <w:r w:rsidR="002D0DF9">
          <w:rPr>
            <w:noProof/>
            <w:webHidden/>
          </w:rPr>
          <w:t>9</w:t>
        </w:r>
        <w:r w:rsidR="002D0DF9">
          <w:rPr>
            <w:noProof/>
            <w:webHidden/>
          </w:rPr>
          <w:fldChar w:fldCharType="end"/>
        </w:r>
      </w:hyperlink>
    </w:p>
    <w:p w14:paraId="210F7AD6" w14:textId="627F8376" w:rsidR="002D0DF9" w:rsidRDefault="007A6E55">
      <w:pPr>
        <w:pStyle w:val="TOC4"/>
        <w:tabs>
          <w:tab w:val="right" w:leader="dot" w:pos="5030"/>
        </w:tabs>
        <w:rPr>
          <w:rFonts w:eastAsiaTheme="minorEastAsia"/>
          <w:smallCaps w:val="0"/>
          <w:noProof/>
          <w:sz w:val="22"/>
          <w:lang w:val="en-US" w:eastAsia="en-US" w:bidi="ar-SA"/>
        </w:rPr>
      </w:pPr>
      <w:hyperlink w:anchor="_Toc104537022" w:history="1">
        <w:r w:rsidR="002D0DF9" w:rsidRPr="00852F20">
          <w:rPr>
            <w:rStyle w:val="Hyperlink"/>
            <w:noProof/>
          </w:rPr>
          <w:t>Dynamics 365 Sales Enterprise; Dynamics 365 Sales Professional</w:t>
        </w:r>
        <w:r w:rsidR="002D0DF9">
          <w:rPr>
            <w:noProof/>
            <w:webHidden/>
          </w:rPr>
          <w:tab/>
        </w:r>
        <w:r w:rsidR="002D0DF9">
          <w:rPr>
            <w:noProof/>
            <w:webHidden/>
          </w:rPr>
          <w:fldChar w:fldCharType="begin"/>
        </w:r>
        <w:r w:rsidR="002D0DF9">
          <w:rPr>
            <w:noProof/>
            <w:webHidden/>
          </w:rPr>
          <w:instrText xml:space="preserve"> PAGEREF _Toc104537022 \h </w:instrText>
        </w:r>
        <w:r w:rsidR="002D0DF9">
          <w:rPr>
            <w:noProof/>
            <w:webHidden/>
          </w:rPr>
        </w:r>
        <w:r w:rsidR="002D0DF9">
          <w:rPr>
            <w:noProof/>
            <w:webHidden/>
          </w:rPr>
          <w:fldChar w:fldCharType="separate"/>
        </w:r>
        <w:r w:rsidR="002D0DF9">
          <w:rPr>
            <w:noProof/>
            <w:webHidden/>
          </w:rPr>
          <w:t>9</w:t>
        </w:r>
        <w:r w:rsidR="002D0DF9">
          <w:rPr>
            <w:noProof/>
            <w:webHidden/>
          </w:rPr>
          <w:fldChar w:fldCharType="end"/>
        </w:r>
      </w:hyperlink>
    </w:p>
    <w:p w14:paraId="69E826A7" w14:textId="32C12DD7" w:rsidR="002D0DF9" w:rsidRDefault="007A6E55">
      <w:pPr>
        <w:pStyle w:val="TOC4"/>
        <w:tabs>
          <w:tab w:val="right" w:leader="dot" w:pos="5030"/>
        </w:tabs>
        <w:rPr>
          <w:rFonts w:eastAsiaTheme="minorEastAsia"/>
          <w:smallCaps w:val="0"/>
          <w:noProof/>
          <w:sz w:val="22"/>
          <w:lang w:val="en-US" w:eastAsia="en-US" w:bidi="ar-SA"/>
        </w:rPr>
      </w:pPr>
      <w:hyperlink w:anchor="_Toc104537023" w:history="1">
        <w:r w:rsidR="002D0DF9" w:rsidRPr="00852F20">
          <w:rPr>
            <w:rStyle w:val="Hyperlink"/>
            <w:noProof/>
          </w:rPr>
          <w:t>Micrsoft Dynamics 365 Supply Chain Management; Dynamics 365 Finance</w:t>
        </w:r>
        <w:r w:rsidR="002D0DF9" w:rsidRPr="00852F20">
          <w:rPr>
            <w:rStyle w:val="Hyperlink"/>
            <w:noProof/>
            <w:lang w:val="en-US"/>
          </w:rPr>
          <w:t>; Dynamics 365 Project Operations</w:t>
        </w:r>
        <w:r w:rsidR="002D0DF9">
          <w:rPr>
            <w:noProof/>
            <w:webHidden/>
          </w:rPr>
          <w:tab/>
        </w:r>
        <w:r w:rsidR="002D0DF9">
          <w:rPr>
            <w:noProof/>
            <w:webHidden/>
          </w:rPr>
          <w:fldChar w:fldCharType="begin"/>
        </w:r>
        <w:r w:rsidR="002D0DF9">
          <w:rPr>
            <w:noProof/>
            <w:webHidden/>
          </w:rPr>
          <w:instrText xml:space="preserve"> PAGEREF _Toc104537023 \h </w:instrText>
        </w:r>
        <w:r w:rsidR="002D0DF9">
          <w:rPr>
            <w:noProof/>
            <w:webHidden/>
          </w:rPr>
        </w:r>
        <w:r w:rsidR="002D0DF9">
          <w:rPr>
            <w:noProof/>
            <w:webHidden/>
          </w:rPr>
          <w:fldChar w:fldCharType="separate"/>
        </w:r>
        <w:r w:rsidR="002D0DF9">
          <w:rPr>
            <w:noProof/>
            <w:webHidden/>
          </w:rPr>
          <w:t>10</w:t>
        </w:r>
        <w:r w:rsidR="002D0DF9">
          <w:rPr>
            <w:noProof/>
            <w:webHidden/>
          </w:rPr>
          <w:fldChar w:fldCharType="end"/>
        </w:r>
      </w:hyperlink>
    </w:p>
    <w:p w14:paraId="0A1FB661" w14:textId="4EC9716E" w:rsidR="002D0DF9" w:rsidRDefault="007A6E55">
      <w:pPr>
        <w:pStyle w:val="TOC2"/>
        <w:tabs>
          <w:tab w:val="right" w:leader="dot" w:pos="5030"/>
        </w:tabs>
        <w:rPr>
          <w:rFonts w:eastAsiaTheme="minorEastAsia"/>
          <w:b w:val="0"/>
          <w:smallCaps w:val="0"/>
          <w:noProof/>
          <w:sz w:val="22"/>
          <w:lang w:val="en-US" w:eastAsia="en-US" w:bidi="ar-SA"/>
        </w:rPr>
      </w:pPr>
      <w:hyperlink w:anchor="_Toc104537024" w:history="1">
        <w:r w:rsidR="002D0DF9" w:rsidRPr="00852F20">
          <w:rPr>
            <w:rStyle w:val="Hyperlink"/>
            <w:noProof/>
          </w:rPr>
          <w:t>Office 365 Hizmetleri</w:t>
        </w:r>
        <w:r w:rsidR="002D0DF9">
          <w:rPr>
            <w:noProof/>
            <w:webHidden/>
          </w:rPr>
          <w:tab/>
        </w:r>
        <w:r w:rsidR="002D0DF9">
          <w:rPr>
            <w:noProof/>
            <w:webHidden/>
          </w:rPr>
          <w:fldChar w:fldCharType="begin"/>
        </w:r>
        <w:r w:rsidR="002D0DF9">
          <w:rPr>
            <w:noProof/>
            <w:webHidden/>
          </w:rPr>
          <w:instrText xml:space="preserve"> PAGEREF _Toc104537024 \h </w:instrText>
        </w:r>
        <w:r w:rsidR="002D0DF9">
          <w:rPr>
            <w:noProof/>
            <w:webHidden/>
          </w:rPr>
        </w:r>
        <w:r w:rsidR="002D0DF9">
          <w:rPr>
            <w:noProof/>
            <w:webHidden/>
          </w:rPr>
          <w:fldChar w:fldCharType="separate"/>
        </w:r>
        <w:r w:rsidR="002D0DF9">
          <w:rPr>
            <w:noProof/>
            <w:webHidden/>
          </w:rPr>
          <w:t>10</w:t>
        </w:r>
        <w:r w:rsidR="002D0DF9">
          <w:rPr>
            <w:noProof/>
            <w:webHidden/>
          </w:rPr>
          <w:fldChar w:fldCharType="end"/>
        </w:r>
      </w:hyperlink>
    </w:p>
    <w:p w14:paraId="7DA45551" w14:textId="7E170E97" w:rsidR="002D0DF9" w:rsidRDefault="007A6E55">
      <w:pPr>
        <w:pStyle w:val="TOC4"/>
        <w:tabs>
          <w:tab w:val="right" w:leader="dot" w:pos="5030"/>
        </w:tabs>
        <w:rPr>
          <w:rFonts w:eastAsiaTheme="minorEastAsia"/>
          <w:smallCaps w:val="0"/>
          <w:noProof/>
          <w:sz w:val="22"/>
          <w:lang w:val="en-US" w:eastAsia="en-US" w:bidi="ar-SA"/>
        </w:rPr>
      </w:pPr>
      <w:hyperlink w:anchor="_Toc104537025" w:history="1">
        <w:r w:rsidR="002D0DF9" w:rsidRPr="00852F20">
          <w:rPr>
            <w:rStyle w:val="Hyperlink"/>
            <w:noProof/>
          </w:rPr>
          <w:t>Duet Enterprise Online</w:t>
        </w:r>
        <w:r w:rsidR="002D0DF9">
          <w:rPr>
            <w:noProof/>
            <w:webHidden/>
          </w:rPr>
          <w:tab/>
        </w:r>
        <w:r w:rsidR="002D0DF9">
          <w:rPr>
            <w:noProof/>
            <w:webHidden/>
          </w:rPr>
          <w:fldChar w:fldCharType="begin"/>
        </w:r>
        <w:r w:rsidR="002D0DF9">
          <w:rPr>
            <w:noProof/>
            <w:webHidden/>
          </w:rPr>
          <w:instrText xml:space="preserve"> PAGEREF _Toc104537025 \h </w:instrText>
        </w:r>
        <w:r w:rsidR="002D0DF9">
          <w:rPr>
            <w:noProof/>
            <w:webHidden/>
          </w:rPr>
        </w:r>
        <w:r w:rsidR="002D0DF9">
          <w:rPr>
            <w:noProof/>
            <w:webHidden/>
          </w:rPr>
          <w:fldChar w:fldCharType="separate"/>
        </w:r>
        <w:r w:rsidR="002D0DF9">
          <w:rPr>
            <w:noProof/>
            <w:webHidden/>
          </w:rPr>
          <w:t>10</w:t>
        </w:r>
        <w:r w:rsidR="002D0DF9">
          <w:rPr>
            <w:noProof/>
            <w:webHidden/>
          </w:rPr>
          <w:fldChar w:fldCharType="end"/>
        </w:r>
      </w:hyperlink>
    </w:p>
    <w:p w14:paraId="2469F977" w14:textId="3362BABE" w:rsidR="002D0DF9" w:rsidRDefault="007A6E55">
      <w:pPr>
        <w:pStyle w:val="TOC4"/>
        <w:tabs>
          <w:tab w:val="right" w:leader="dot" w:pos="5030"/>
        </w:tabs>
        <w:rPr>
          <w:rFonts w:eastAsiaTheme="minorEastAsia"/>
          <w:smallCaps w:val="0"/>
          <w:noProof/>
          <w:sz w:val="22"/>
          <w:lang w:val="en-US" w:eastAsia="en-US" w:bidi="ar-SA"/>
        </w:rPr>
      </w:pPr>
      <w:hyperlink w:anchor="_Toc104537026" w:history="1">
        <w:r w:rsidR="002D0DF9" w:rsidRPr="00852F20">
          <w:rPr>
            <w:rStyle w:val="Hyperlink"/>
            <w:noProof/>
          </w:rPr>
          <w:t>Exchange Çevrimiçi</w:t>
        </w:r>
        <w:r w:rsidR="002D0DF9">
          <w:rPr>
            <w:noProof/>
            <w:webHidden/>
          </w:rPr>
          <w:tab/>
        </w:r>
        <w:r w:rsidR="002D0DF9">
          <w:rPr>
            <w:noProof/>
            <w:webHidden/>
          </w:rPr>
          <w:fldChar w:fldCharType="begin"/>
        </w:r>
        <w:r w:rsidR="002D0DF9">
          <w:rPr>
            <w:noProof/>
            <w:webHidden/>
          </w:rPr>
          <w:instrText xml:space="preserve"> PAGEREF _Toc104537026 \h </w:instrText>
        </w:r>
        <w:r w:rsidR="002D0DF9">
          <w:rPr>
            <w:noProof/>
            <w:webHidden/>
          </w:rPr>
        </w:r>
        <w:r w:rsidR="002D0DF9">
          <w:rPr>
            <w:noProof/>
            <w:webHidden/>
          </w:rPr>
          <w:fldChar w:fldCharType="separate"/>
        </w:r>
        <w:r w:rsidR="002D0DF9">
          <w:rPr>
            <w:noProof/>
            <w:webHidden/>
          </w:rPr>
          <w:t>11</w:t>
        </w:r>
        <w:r w:rsidR="002D0DF9">
          <w:rPr>
            <w:noProof/>
            <w:webHidden/>
          </w:rPr>
          <w:fldChar w:fldCharType="end"/>
        </w:r>
      </w:hyperlink>
    </w:p>
    <w:p w14:paraId="10941995" w14:textId="3C7ED51D" w:rsidR="002D0DF9" w:rsidRDefault="007A6E55">
      <w:pPr>
        <w:pStyle w:val="TOC4"/>
        <w:tabs>
          <w:tab w:val="right" w:leader="dot" w:pos="5030"/>
        </w:tabs>
        <w:rPr>
          <w:rFonts w:eastAsiaTheme="minorEastAsia"/>
          <w:smallCaps w:val="0"/>
          <w:noProof/>
          <w:sz w:val="22"/>
          <w:lang w:val="en-US" w:eastAsia="en-US" w:bidi="ar-SA"/>
        </w:rPr>
      </w:pPr>
      <w:hyperlink w:anchor="_Toc104537027" w:history="1">
        <w:r w:rsidR="002D0DF9" w:rsidRPr="00852F20">
          <w:rPr>
            <w:rStyle w:val="Hyperlink"/>
            <w:noProof/>
          </w:rPr>
          <w:t>Exchange Çevrimiçi Arşivleme</w:t>
        </w:r>
        <w:r w:rsidR="002D0DF9">
          <w:rPr>
            <w:noProof/>
            <w:webHidden/>
          </w:rPr>
          <w:tab/>
        </w:r>
        <w:r w:rsidR="002D0DF9">
          <w:rPr>
            <w:noProof/>
            <w:webHidden/>
          </w:rPr>
          <w:fldChar w:fldCharType="begin"/>
        </w:r>
        <w:r w:rsidR="002D0DF9">
          <w:rPr>
            <w:noProof/>
            <w:webHidden/>
          </w:rPr>
          <w:instrText xml:space="preserve"> PAGEREF _Toc104537027 \h </w:instrText>
        </w:r>
        <w:r w:rsidR="002D0DF9">
          <w:rPr>
            <w:noProof/>
            <w:webHidden/>
          </w:rPr>
        </w:r>
        <w:r w:rsidR="002D0DF9">
          <w:rPr>
            <w:noProof/>
            <w:webHidden/>
          </w:rPr>
          <w:fldChar w:fldCharType="separate"/>
        </w:r>
        <w:r w:rsidR="002D0DF9">
          <w:rPr>
            <w:noProof/>
            <w:webHidden/>
          </w:rPr>
          <w:t>11</w:t>
        </w:r>
        <w:r w:rsidR="002D0DF9">
          <w:rPr>
            <w:noProof/>
            <w:webHidden/>
          </w:rPr>
          <w:fldChar w:fldCharType="end"/>
        </w:r>
      </w:hyperlink>
    </w:p>
    <w:p w14:paraId="1CA62A52" w14:textId="253A6FF2" w:rsidR="002D0DF9" w:rsidRDefault="007A6E55">
      <w:pPr>
        <w:pStyle w:val="TOC4"/>
        <w:tabs>
          <w:tab w:val="right" w:leader="dot" w:pos="5030"/>
        </w:tabs>
        <w:rPr>
          <w:rFonts w:eastAsiaTheme="minorEastAsia"/>
          <w:smallCaps w:val="0"/>
          <w:noProof/>
          <w:sz w:val="22"/>
          <w:lang w:val="en-US" w:eastAsia="en-US" w:bidi="ar-SA"/>
        </w:rPr>
      </w:pPr>
      <w:hyperlink w:anchor="_Toc104537028" w:history="1">
        <w:r w:rsidR="002D0DF9" w:rsidRPr="00852F20">
          <w:rPr>
            <w:rStyle w:val="Hyperlink"/>
            <w:noProof/>
          </w:rPr>
          <w:t>Exchange Online Protection</w:t>
        </w:r>
        <w:r w:rsidR="002D0DF9">
          <w:rPr>
            <w:noProof/>
            <w:webHidden/>
          </w:rPr>
          <w:tab/>
        </w:r>
        <w:r w:rsidR="002D0DF9">
          <w:rPr>
            <w:noProof/>
            <w:webHidden/>
          </w:rPr>
          <w:fldChar w:fldCharType="begin"/>
        </w:r>
        <w:r w:rsidR="002D0DF9">
          <w:rPr>
            <w:noProof/>
            <w:webHidden/>
          </w:rPr>
          <w:instrText xml:space="preserve"> PAGEREF _Toc104537028 \h </w:instrText>
        </w:r>
        <w:r w:rsidR="002D0DF9">
          <w:rPr>
            <w:noProof/>
            <w:webHidden/>
          </w:rPr>
        </w:r>
        <w:r w:rsidR="002D0DF9">
          <w:rPr>
            <w:noProof/>
            <w:webHidden/>
          </w:rPr>
          <w:fldChar w:fldCharType="separate"/>
        </w:r>
        <w:r w:rsidR="002D0DF9">
          <w:rPr>
            <w:noProof/>
            <w:webHidden/>
          </w:rPr>
          <w:t>12</w:t>
        </w:r>
        <w:r w:rsidR="002D0DF9">
          <w:rPr>
            <w:noProof/>
            <w:webHidden/>
          </w:rPr>
          <w:fldChar w:fldCharType="end"/>
        </w:r>
      </w:hyperlink>
    </w:p>
    <w:p w14:paraId="2DB24051" w14:textId="30A2E566" w:rsidR="002D0DF9" w:rsidRDefault="007A6E55">
      <w:pPr>
        <w:pStyle w:val="TOC4"/>
        <w:tabs>
          <w:tab w:val="right" w:leader="dot" w:pos="5030"/>
        </w:tabs>
        <w:rPr>
          <w:rFonts w:eastAsiaTheme="minorEastAsia"/>
          <w:smallCaps w:val="0"/>
          <w:noProof/>
          <w:sz w:val="22"/>
          <w:lang w:val="en-US" w:eastAsia="en-US" w:bidi="ar-SA"/>
        </w:rPr>
      </w:pPr>
      <w:hyperlink w:anchor="_Toc104537029" w:history="1">
        <w:r w:rsidR="002D0DF9" w:rsidRPr="00852F20">
          <w:rPr>
            <w:rStyle w:val="Hyperlink"/>
            <w:noProof/>
          </w:rPr>
          <w:t>Microsoft MyAnalytics</w:t>
        </w:r>
        <w:r w:rsidR="002D0DF9">
          <w:rPr>
            <w:noProof/>
            <w:webHidden/>
          </w:rPr>
          <w:tab/>
        </w:r>
        <w:r w:rsidR="002D0DF9">
          <w:rPr>
            <w:noProof/>
            <w:webHidden/>
          </w:rPr>
          <w:fldChar w:fldCharType="begin"/>
        </w:r>
        <w:r w:rsidR="002D0DF9">
          <w:rPr>
            <w:noProof/>
            <w:webHidden/>
          </w:rPr>
          <w:instrText xml:space="preserve"> PAGEREF _Toc104537029 \h </w:instrText>
        </w:r>
        <w:r w:rsidR="002D0DF9">
          <w:rPr>
            <w:noProof/>
            <w:webHidden/>
          </w:rPr>
        </w:r>
        <w:r w:rsidR="002D0DF9">
          <w:rPr>
            <w:noProof/>
            <w:webHidden/>
          </w:rPr>
          <w:fldChar w:fldCharType="separate"/>
        </w:r>
        <w:r w:rsidR="002D0DF9">
          <w:rPr>
            <w:noProof/>
            <w:webHidden/>
          </w:rPr>
          <w:t>12</w:t>
        </w:r>
        <w:r w:rsidR="002D0DF9">
          <w:rPr>
            <w:noProof/>
            <w:webHidden/>
          </w:rPr>
          <w:fldChar w:fldCharType="end"/>
        </w:r>
      </w:hyperlink>
    </w:p>
    <w:p w14:paraId="2A5A2391" w14:textId="3CD5041B" w:rsidR="002D0DF9" w:rsidRDefault="007A6E55">
      <w:pPr>
        <w:pStyle w:val="TOC4"/>
        <w:tabs>
          <w:tab w:val="right" w:leader="dot" w:pos="5030"/>
        </w:tabs>
        <w:rPr>
          <w:rFonts w:eastAsiaTheme="minorEastAsia"/>
          <w:smallCaps w:val="0"/>
          <w:noProof/>
          <w:sz w:val="22"/>
          <w:lang w:val="en-US" w:eastAsia="en-US" w:bidi="ar-SA"/>
        </w:rPr>
      </w:pPr>
      <w:hyperlink w:anchor="_Toc104537030" w:history="1">
        <w:r w:rsidR="002D0DF9" w:rsidRPr="00852F20">
          <w:rPr>
            <w:rStyle w:val="Hyperlink"/>
            <w:noProof/>
          </w:rPr>
          <w:t>Microsoft Stream</w:t>
        </w:r>
        <w:r w:rsidR="002D0DF9">
          <w:rPr>
            <w:noProof/>
            <w:webHidden/>
          </w:rPr>
          <w:tab/>
        </w:r>
        <w:r w:rsidR="002D0DF9">
          <w:rPr>
            <w:noProof/>
            <w:webHidden/>
          </w:rPr>
          <w:fldChar w:fldCharType="begin"/>
        </w:r>
        <w:r w:rsidR="002D0DF9">
          <w:rPr>
            <w:noProof/>
            <w:webHidden/>
          </w:rPr>
          <w:instrText xml:space="preserve"> PAGEREF _Toc104537030 \h </w:instrText>
        </w:r>
        <w:r w:rsidR="002D0DF9">
          <w:rPr>
            <w:noProof/>
            <w:webHidden/>
          </w:rPr>
        </w:r>
        <w:r w:rsidR="002D0DF9">
          <w:rPr>
            <w:noProof/>
            <w:webHidden/>
          </w:rPr>
          <w:fldChar w:fldCharType="separate"/>
        </w:r>
        <w:r w:rsidR="002D0DF9">
          <w:rPr>
            <w:noProof/>
            <w:webHidden/>
          </w:rPr>
          <w:t>12</w:t>
        </w:r>
        <w:r w:rsidR="002D0DF9">
          <w:rPr>
            <w:noProof/>
            <w:webHidden/>
          </w:rPr>
          <w:fldChar w:fldCharType="end"/>
        </w:r>
      </w:hyperlink>
    </w:p>
    <w:p w14:paraId="5F1337BB" w14:textId="18CCAF6B" w:rsidR="002D0DF9" w:rsidRDefault="007A6E55">
      <w:pPr>
        <w:pStyle w:val="TOC4"/>
        <w:tabs>
          <w:tab w:val="right" w:leader="dot" w:pos="5030"/>
        </w:tabs>
        <w:rPr>
          <w:rFonts w:eastAsiaTheme="minorEastAsia"/>
          <w:smallCaps w:val="0"/>
          <w:noProof/>
          <w:sz w:val="22"/>
          <w:lang w:val="en-US" w:eastAsia="en-US" w:bidi="ar-SA"/>
        </w:rPr>
      </w:pPr>
      <w:hyperlink w:anchor="_Toc104537031" w:history="1">
        <w:r w:rsidR="002D0DF9" w:rsidRPr="00852F20">
          <w:rPr>
            <w:rStyle w:val="Hyperlink"/>
            <w:noProof/>
          </w:rPr>
          <w:t>Microsoft Teams</w:t>
        </w:r>
        <w:r w:rsidR="002D0DF9">
          <w:rPr>
            <w:noProof/>
            <w:webHidden/>
          </w:rPr>
          <w:tab/>
        </w:r>
        <w:r w:rsidR="002D0DF9">
          <w:rPr>
            <w:noProof/>
            <w:webHidden/>
          </w:rPr>
          <w:fldChar w:fldCharType="begin"/>
        </w:r>
        <w:r w:rsidR="002D0DF9">
          <w:rPr>
            <w:noProof/>
            <w:webHidden/>
          </w:rPr>
          <w:instrText xml:space="preserve"> PAGEREF _Toc104537031 \h </w:instrText>
        </w:r>
        <w:r w:rsidR="002D0DF9">
          <w:rPr>
            <w:noProof/>
            <w:webHidden/>
          </w:rPr>
        </w:r>
        <w:r w:rsidR="002D0DF9">
          <w:rPr>
            <w:noProof/>
            <w:webHidden/>
          </w:rPr>
          <w:fldChar w:fldCharType="separate"/>
        </w:r>
        <w:r w:rsidR="002D0DF9">
          <w:rPr>
            <w:noProof/>
            <w:webHidden/>
          </w:rPr>
          <w:t>13</w:t>
        </w:r>
        <w:r w:rsidR="002D0DF9">
          <w:rPr>
            <w:noProof/>
            <w:webHidden/>
          </w:rPr>
          <w:fldChar w:fldCharType="end"/>
        </w:r>
      </w:hyperlink>
    </w:p>
    <w:p w14:paraId="7F4DFAC3" w14:textId="2468FAF1" w:rsidR="002D0DF9" w:rsidRDefault="007A6E55">
      <w:pPr>
        <w:pStyle w:val="TOC4"/>
        <w:tabs>
          <w:tab w:val="right" w:leader="dot" w:pos="5030"/>
        </w:tabs>
        <w:rPr>
          <w:rFonts w:eastAsiaTheme="minorEastAsia"/>
          <w:smallCaps w:val="0"/>
          <w:noProof/>
          <w:sz w:val="22"/>
          <w:lang w:val="en-US" w:eastAsia="en-US" w:bidi="ar-SA"/>
        </w:rPr>
      </w:pPr>
      <w:hyperlink w:anchor="_Toc104537032" w:history="1">
        <w:r w:rsidR="002D0DF9" w:rsidRPr="00852F20">
          <w:rPr>
            <w:rStyle w:val="Hyperlink"/>
            <w:noProof/>
          </w:rPr>
          <w:t>Microsoft 365 Apps for business</w:t>
        </w:r>
        <w:r w:rsidR="002D0DF9">
          <w:rPr>
            <w:noProof/>
            <w:webHidden/>
          </w:rPr>
          <w:tab/>
        </w:r>
        <w:r w:rsidR="002D0DF9">
          <w:rPr>
            <w:noProof/>
            <w:webHidden/>
          </w:rPr>
          <w:fldChar w:fldCharType="begin"/>
        </w:r>
        <w:r w:rsidR="002D0DF9">
          <w:rPr>
            <w:noProof/>
            <w:webHidden/>
          </w:rPr>
          <w:instrText xml:space="preserve"> PAGEREF _Toc104537032 \h </w:instrText>
        </w:r>
        <w:r w:rsidR="002D0DF9">
          <w:rPr>
            <w:noProof/>
            <w:webHidden/>
          </w:rPr>
        </w:r>
        <w:r w:rsidR="002D0DF9">
          <w:rPr>
            <w:noProof/>
            <w:webHidden/>
          </w:rPr>
          <w:fldChar w:fldCharType="separate"/>
        </w:r>
        <w:r w:rsidR="002D0DF9">
          <w:rPr>
            <w:noProof/>
            <w:webHidden/>
          </w:rPr>
          <w:t>13</w:t>
        </w:r>
        <w:r w:rsidR="002D0DF9">
          <w:rPr>
            <w:noProof/>
            <w:webHidden/>
          </w:rPr>
          <w:fldChar w:fldCharType="end"/>
        </w:r>
      </w:hyperlink>
    </w:p>
    <w:p w14:paraId="6D9A1860" w14:textId="1E760410" w:rsidR="002D0DF9" w:rsidRDefault="007A6E55">
      <w:pPr>
        <w:pStyle w:val="TOC4"/>
        <w:tabs>
          <w:tab w:val="right" w:leader="dot" w:pos="5030"/>
        </w:tabs>
        <w:rPr>
          <w:rFonts w:eastAsiaTheme="minorEastAsia"/>
          <w:smallCaps w:val="0"/>
          <w:noProof/>
          <w:sz w:val="22"/>
          <w:lang w:val="en-US" w:eastAsia="en-US" w:bidi="ar-SA"/>
        </w:rPr>
      </w:pPr>
      <w:hyperlink w:anchor="_Toc104537033" w:history="1">
        <w:r w:rsidR="002D0DF9" w:rsidRPr="00852F20">
          <w:rPr>
            <w:rStyle w:val="Hyperlink"/>
            <w:noProof/>
          </w:rPr>
          <w:t>Microsoft 365 Apps for enterprise</w:t>
        </w:r>
        <w:r w:rsidR="002D0DF9">
          <w:rPr>
            <w:noProof/>
            <w:webHidden/>
          </w:rPr>
          <w:tab/>
        </w:r>
        <w:r w:rsidR="002D0DF9">
          <w:rPr>
            <w:noProof/>
            <w:webHidden/>
          </w:rPr>
          <w:fldChar w:fldCharType="begin"/>
        </w:r>
        <w:r w:rsidR="002D0DF9">
          <w:rPr>
            <w:noProof/>
            <w:webHidden/>
          </w:rPr>
          <w:instrText xml:space="preserve"> PAGEREF _Toc104537033 \h </w:instrText>
        </w:r>
        <w:r w:rsidR="002D0DF9">
          <w:rPr>
            <w:noProof/>
            <w:webHidden/>
          </w:rPr>
        </w:r>
        <w:r w:rsidR="002D0DF9">
          <w:rPr>
            <w:noProof/>
            <w:webHidden/>
          </w:rPr>
          <w:fldChar w:fldCharType="separate"/>
        </w:r>
        <w:r w:rsidR="002D0DF9">
          <w:rPr>
            <w:noProof/>
            <w:webHidden/>
          </w:rPr>
          <w:t>13</w:t>
        </w:r>
        <w:r w:rsidR="002D0DF9">
          <w:rPr>
            <w:noProof/>
            <w:webHidden/>
          </w:rPr>
          <w:fldChar w:fldCharType="end"/>
        </w:r>
      </w:hyperlink>
    </w:p>
    <w:p w14:paraId="4BA61FB9" w14:textId="37DDBC9F" w:rsidR="002D0DF9" w:rsidRDefault="007A6E55">
      <w:pPr>
        <w:pStyle w:val="TOC4"/>
        <w:tabs>
          <w:tab w:val="right" w:leader="dot" w:pos="5030"/>
        </w:tabs>
        <w:rPr>
          <w:rFonts w:eastAsiaTheme="minorEastAsia"/>
          <w:smallCaps w:val="0"/>
          <w:noProof/>
          <w:sz w:val="22"/>
          <w:lang w:val="en-US" w:eastAsia="en-US" w:bidi="ar-SA"/>
        </w:rPr>
      </w:pPr>
      <w:hyperlink w:anchor="_Toc104537034" w:history="1">
        <w:r w:rsidR="002D0DF9" w:rsidRPr="00852F20">
          <w:rPr>
            <w:rStyle w:val="Hyperlink"/>
            <w:noProof/>
          </w:rPr>
          <w:t>Office 365 Gelişmiş Uyumluluk</w:t>
        </w:r>
        <w:r w:rsidR="002D0DF9">
          <w:rPr>
            <w:noProof/>
            <w:webHidden/>
          </w:rPr>
          <w:tab/>
        </w:r>
        <w:r w:rsidR="002D0DF9">
          <w:rPr>
            <w:noProof/>
            <w:webHidden/>
          </w:rPr>
          <w:fldChar w:fldCharType="begin"/>
        </w:r>
        <w:r w:rsidR="002D0DF9">
          <w:rPr>
            <w:noProof/>
            <w:webHidden/>
          </w:rPr>
          <w:instrText xml:space="preserve"> PAGEREF _Toc104537034 \h </w:instrText>
        </w:r>
        <w:r w:rsidR="002D0DF9">
          <w:rPr>
            <w:noProof/>
            <w:webHidden/>
          </w:rPr>
        </w:r>
        <w:r w:rsidR="002D0DF9">
          <w:rPr>
            <w:noProof/>
            <w:webHidden/>
          </w:rPr>
          <w:fldChar w:fldCharType="separate"/>
        </w:r>
        <w:r w:rsidR="002D0DF9">
          <w:rPr>
            <w:noProof/>
            <w:webHidden/>
          </w:rPr>
          <w:t>14</w:t>
        </w:r>
        <w:r w:rsidR="002D0DF9">
          <w:rPr>
            <w:noProof/>
            <w:webHidden/>
          </w:rPr>
          <w:fldChar w:fldCharType="end"/>
        </w:r>
      </w:hyperlink>
    </w:p>
    <w:p w14:paraId="3F1BD7FF" w14:textId="48706FA5" w:rsidR="002D0DF9" w:rsidRDefault="007A6E55">
      <w:pPr>
        <w:pStyle w:val="TOC4"/>
        <w:tabs>
          <w:tab w:val="right" w:leader="dot" w:pos="5030"/>
        </w:tabs>
        <w:rPr>
          <w:rFonts w:eastAsiaTheme="minorEastAsia"/>
          <w:smallCaps w:val="0"/>
          <w:noProof/>
          <w:sz w:val="22"/>
          <w:lang w:val="en-US" w:eastAsia="en-US" w:bidi="ar-SA"/>
        </w:rPr>
      </w:pPr>
      <w:hyperlink w:anchor="_Toc104537035" w:history="1">
        <w:r w:rsidR="002D0DF9" w:rsidRPr="00852F20">
          <w:rPr>
            <w:rStyle w:val="Hyperlink"/>
            <w:noProof/>
          </w:rPr>
          <w:t>Office Online</w:t>
        </w:r>
        <w:r w:rsidR="002D0DF9">
          <w:rPr>
            <w:noProof/>
            <w:webHidden/>
          </w:rPr>
          <w:tab/>
        </w:r>
        <w:r w:rsidR="002D0DF9">
          <w:rPr>
            <w:noProof/>
            <w:webHidden/>
          </w:rPr>
          <w:fldChar w:fldCharType="begin"/>
        </w:r>
        <w:r w:rsidR="002D0DF9">
          <w:rPr>
            <w:noProof/>
            <w:webHidden/>
          </w:rPr>
          <w:instrText xml:space="preserve"> PAGEREF _Toc104537035 \h </w:instrText>
        </w:r>
        <w:r w:rsidR="002D0DF9">
          <w:rPr>
            <w:noProof/>
            <w:webHidden/>
          </w:rPr>
        </w:r>
        <w:r w:rsidR="002D0DF9">
          <w:rPr>
            <w:noProof/>
            <w:webHidden/>
          </w:rPr>
          <w:fldChar w:fldCharType="separate"/>
        </w:r>
        <w:r w:rsidR="002D0DF9">
          <w:rPr>
            <w:noProof/>
            <w:webHidden/>
          </w:rPr>
          <w:t>14</w:t>
        </w:r>
        <w:r w:rsidR="002D0DF9">
          <w:rPr>
            <w:noProof/>
            <w:webHidden/>
          </w:rPr>
          <w:fldChar w:fldCharType="end"/>
        </w:r>
      </w:hyperlink>
    </w:p>
    <w:p w14:paraId="2A3A18AC" w14:textId="49F8E2F4" w:rsidR="002D0DF9" w:rsidRDefault="007A6E55">
      <w:pPr>
        <w:pStyle w:val="TOC4"/>
        <w:tabs>
          <w:tab w:val="right" w:leader="dot" w:pos="5030"/>
        </w:tabs>
        <w:rPr>
          <w:rFonts w:eastAsiaTheme="minorEastAsia"/>
          <w:smallCaps w:val="0"/>
          <w:noProof/>
          <w:sz w:val="22"/>
          <w:lang w:val="en-US" w:eastAsia="en-US" w:bidi="ar-SA"/>
        </w:rPr>
      </w:pPr>
      <w:hyperlink w:anchor="_Toc104537036" w:history="1">
        <w:r w:rsidR="002D0DF9" w:rsidRPr="00852F20">
          <w:rPr>
            <w:rStyle w:val="Hyperlink"/>
            <w:noProof/>
          </w:rPr>
          <w:t>Office 365 Video</w:t>
        </w:r>
        <w:r w:rsidR="002D0DF9">
          <w:rPr>
            <w:noProof/>
            <w:webHidden/>
          </w:rPr>
          <w:tab/>
        </w:r>
        <w:r w:rsidR="002D0DF9">
          <w:rPr>
            <w:noProof/>
            <w:webHidden/>
          </w:rPr>
          <w:fldChar w:fldCharType="begin"/>
        </w:r>
        <w:r w:rsidR="002D0DF9">
          <w:rPr>
            <w:noProof/>
            <w:webHidden/>
          </w:rPr>
          <w:instrText xml:space="preserve"> PAGEREF _Toc104537036 \h </w:instrText>
        </w:r>
        <w:r w:rsidR="002D0DF9">
          <w:rPr>
            <w:noProof/>
            <w:webHidden/>
          </w:rPr>
        </w:r>
        <w:r w:rsidR="002D0DF9">
          <w:rPr>
            <w:noProof/>
            <w:webHidden/>
          </w:rPr>
          <w:fldChar w:fldCharType="separate"/>
        </w:r>
        <w:r w:rsidR="002D0DF9">
          <w:rPr>
            <w:noProof/>
            <w:webHidden/>
          </w:rPr>
          <w:t>14</w:t>
        </w:r>
        <w:r w:rsidR="002D0DF9">
          <w:rPr>
            <w:noProof/>
            <w:webHidden/>
          </w:rPr>
          <w:fldChar w:fldCharType="end"/>
        </w:r>
      </w:hyperlink>
    </w:p>
    <w:p w14:paraId="11D13975" w14:textId="2E0DEC18" w:rsidR="002D0DF9" w:rsidRDefault="007A6E55">
      <w:pPr>
        <w:pStyle w:val="TOC4"/>
        <w:tabs>
          <w:tab w:val="right" w:leader="dot" w:pos="5030"/>
        </w:tabs>
        <w:rPr>
          <w:rFonts w:eastAsiaTheme="minorEastAsia"/>
          <w:smallCaps w:val="0"/>
          <w:noProof/>
          <w:sz w:val="22"/>
          <w:lang w:val="en-US" w:eastAsia="en-US" w:bidi="ar-SA"/>
        </w:rPr>
      </w:pPr>
      <w:hyperlink w:anchor="_Toc104537037" w:history="1">
        <w:r w:rsidR="002D0DF9" w:rsidRPr="00852F20">
          <w:rPr>
            <w:rStyle w:val="Hyperlink"/>
            <w:noProof/>
          </w:rPr>
          <w:t>OneDrive for Business</w:t>
        </w:r>
        <w:r w:rsidR="002D0DF9">
          <w:rPr>
            <w:noProof/>
            <w:webHidden/>
          </w:rPr>
          <w:tab/>
        </w:r>
        <w:r w:rsidR="002D0DF9">
          <w:rPr>
            <w:noProof/>
            <w:webHidden/>
          </w:rPr>
          <w:fldChar w:fldCharType="begin"/>
        </w:r>
        <w:r w:rsidR="002D0DF9">
          <w:rPr>
            <w:noProof/>
            <w:webHidden/>
          </w:rPr>
          <w:instrText xml:space="preserve"> PAGEREF _Toc104537037 \h </w:instrText>
        </w:r>
        <w:r w:rsidR="002D0DF9">
          <w:rPr>
            <w:noProof/>
            <w:webHidden/>
          </w:rPr>
        </w:r>
        <w:r w:rsidR="002D0DF9">
          <w:rPr>
            <w:noProof/>
            <w:webHidden/>
          </w:rPr>
          <w:fldChar w:fldCharType="separate"/>
        </w:r>
        <w:r w:rsidR="002D0DF9">
          <w:rPr>
            <w:noProof/>
            <w:webHidden/>
          </w:rPr>
          <w:t>15</w:t>
        </w:r>
        <w:r w:rsidR="002D0DF9">
          <w:rPr>
            <w:noProof/>
            <w:webHidden/>
          </w:rPr>
          <w:fldChar w:fldCharType="end"/>
        </w:r>
      </w:hyperlink>
    </w:p>
    <w:p w14:paraId="2295EF1C" w14:textId="489EC505" w:rsidR="002D0DF9" w:rsidRDefault="007A6E55">
      <w:pPr>
        <w:pStyle w:val="TOC4"/>
        <w:tabs>
          <w:tab w:val="right" w:leader="dot" w:pos="5030"/>
        </w:tabs>
        <w:rPr>
          <w:rFonts w:eastAsiaTheme="minorEastAsia"/>
          <w:smallCaps w:val="0"/>
          <w:noProof/>
          <w:sz w:val="22"/>
          <w:lang w:val="en-US" w:eastAsia="en-US" w:bidi="ar-SA"/>
        </w:rPr>
      </w:pPr>
      <w:hyperlink w:anchor="_Toc104537038" w:history="1">
        <w:r w:rsidR="002D0DF9" w:rsidRPr="00852F20">
          <w:rPr>
            <w:rStyle w:val="Hyperlink"/>
            <w:noProof/>
          </w:rPr>
          <w:t>Project</w:t>
        </w:r>
        <w:r w:rsidR="002D0DF9">
          <w:rPr>
            <w:noProof/>
            <w:webHidden/>
          </w:rPr>
          <w:tab/>
        </w:r>
        <w:r w:rsidR="002D0DF9">
          <w:rPr>
            <w:noProof/>
            <w:webHidden/>
          </w:rPr>
          <w:fldChar w:fldCharType="begin"/>
        </w:r>
        <w:r w:rsidR="002D0DF9">
          <w:rPr>
            <w:noProof/>
            <w:webHidden/>
          </w:rPr>
          <w:instrText xml:space="preserve"> PAGEREF _Toc104537038 \h </w:instrText>
        </w:r>
        <w:r w:rsidR="002D0DF9">
          <w:rPr>
            <w:noProof/>
            <w:webHidden/>
          </w:rPr>
        </w:r>
        <w:r w:rsidR="002D0DF9">
          <w:rPr>
            <w:noProof/>
            <w:webHidden/>
          </w:rPr>
          <w:fldChar w:fldCharType="separate"/>
        </w:r>
        <w:r w:rsidR="002D0DF9">
          <w:rPr>
            <w:noProof/>
            <w:webHidden/>
          </w:rPr>
          <w:t>15</w:t>
        </w:r>
        <w:r w:rsidR="002D0DF9">
          <w:rPr>
            <w:noProof/>
            <w:webHidden/>
          </w:rPr>
          <w:fldChar w:fldCharType="end"/>
        </w:r>
      </w:hyperlink>
    </w:p>
    <w:p w14:paraId="6D02C216" w14:textId="6E4EEDF5" w:rsidR="002D0DF9" w:rsidRDefault="007A6E55">
      <w:pPr>
        <w:pStyle w:val="TOC4"/>
        <w:tabs>
          <w:tab w:val="right" w:leader="dot" w:pos="5030"/>
        </w:tabs>
        <w:rPr>
          <w:rFonts w:eastAsiaTheme="minorEastAsia"/>
          <w:smallCaps w:val="0"/>
          <w:noProof/>
          <w:sz w:val="22"/>
          <w:lang w:val="en-US" w:eastAsia="en-US" w:bidi="ar-SA"/>
        </w:rPr>
      </w:pPr>
      <w:hyperlink w:anchor="_Toc104537039" w:history="1">
        <w:r w:rsidR="002D0DF9" w:rsidRPr="00852F20">
          <w:rPr>
            <w:rStyle w:val="Hyperlink"/>
            <w:noProof/>
          </w:rPr>
          <w:t>SharePoint Çevrimiçi</w:t>
        </w:r>
        <w:r w:rsidR="002D0DF9">
          <w:rPr>
            <w:noProof/>
            <w:webHidden/>
          </w:rPr>
          <w:tab/>
        </w:r>
        <w:r w:rsidR="002D0DF9">
          <w:rPr>
            <w:noProof/>
            <w:webHidden/>
          </w:rPr>
          <w:fldChar w:fldCharType="begin"/>
        </w:r>
        <w:r w:rsidR="002D0DF9">
          <w:rPr>
            <w:noProof/>
            <w:webHidden/>
          </w:rPr>
          <w:instrText xml:space="preserve"> PAGEREF _Toc104537039 \h </w:instrText>
        </w:r>
        <w:r w:rsidR="002D0DF9">
          <w:rPr>
            <w:noProof/>
            <w:webHidden/>
          </w:rPr>
        </w:r>
        <w:r w:rsidR="002D0DF9">
          <w:rPr>
            <w:noProof/>
            <w:webHidden/>
          </w:rPr>
          <w:fldChar w:fldCharType="separate"/>
        </w:r>
        <w:r w:rsidR="002D0DF9">
          <w:rPr>
            <w:noProof/>
            <w:webHidden/>
          </w:rPr>
          <w:t>16</w:t>
        </w:r>
        <w:r w:rsidR="002D0DF9">
          <w:rPr>
            <w:noProof/>
            <w:webHidden/>
          </w:rPr>
          <w:fldChar w:fldCharType="end"/>
        </w:r>
      </w:hyperlink>
    </w:p>
    <w:p w14:paraId="1DDCB9AF" w14:textId="714618CD" w:rsidR="002D0DF9" w:rsidRDefault="007A6E55">
      <w:pPr>
        <w:pStyle w:val="TOC4"/>
        <w:tabs>
          <w:tab w:val="right" w:leader="dot" w:pos="5030"/>
        </w:tabs>
        <w:rPr>
          <w:rFonts w:eastAsiaTheme="minorEastAsia"/>
          <w:smallCaps w:val="0"/>
          <w:noProof/>
          <w:sz w:val="22"/>
          <w:lang w:val="en-US" w:eastAsia="en-US" w:bidi="ar-SA"/>
        </w:rPr>
      </w:pPr>
      <w:hyperlink w:anchor="_Toc104537040" w:history="1">
        <w:r w:rsidR="002D0DF9" w:rsidRPr="00852F20">
          <w:rPr>
            <w:rStyle w:val="Hyperlink"/>
            <w:noProof/>
          </w:rPr>
          <w:t>Skype Kurumsal Çevrimiçi Sürüm</w:t>
        </w:r>
        <w:r w:rsidR="002D0DF9">
          <w:rPr>
            <w:noProof/>
            <w:webHidden/>
          </w:rPr>
          <w:tab/>
        </w:r>
        <w:r w:rsidR="002D0DF9">
          <w:rPr>
            <w:noProof/>
            <w:webHidden/>
          </w:rPr>
          <w:fldChar w:fldCharType="begin"/>
        </w:r>
        <w:r w:rsidR="002D0DF9">
          <w:rPr>
            <w:noProof/>
            <w:webHidden/>
          </w:rPr>
          <w:instrText xml:space="preserve"> PAGEREF _Toc104537040 \h </w:instrText>
        </w:r>
        <w:r w:rsidR="002D0DF9">
          <w:rPr>
            <w:noProof/>
            <w:webHidden/>
          </w:rPr>
        </w:r>
        <w:r w:rsidR="002D0DF9">
          <w:rPr>
            <w:noProof/>
            <w:webHidden/>
          </w:rPr>
          <w:fldChar w:fldCharType="separate"/>
        </w:r>
        <w:r w:rsidR="002D0DF9">
          <w:rPr>
            <w:noProof/>
            <w:webHidden/>
          </w:rPr>
          <w:t>16</w:t>
        </w:r>
        <w:r w:rsidR="002D0DF9">
          <w:rPr>
            <w:noProof/>
            <w:webHidden/>
          </w:rPr>
          <w:fldChar w:fldCharType="end"/>
        </w:r>
      </w:hyperlink>
    </w:p>
    <w:p w14:paraId="37CC336F" w14:textId="71A96B3E" w:rsidR="002D0DF9" w:rsidRDefault="007A6E55">
      <w:pPr>
        <w:pStyle w:val="TOC4"/>
        <w:tabs>
          <w:tab w:val="right" w:leader="dot" w:pos="5030"/>
        </w:tabs>
        <w:rPr>
          <w:rFonts w:eastAsiaTheme="minorEastAsia"/>
          <w:smallCaps w:val="0"/>
          <w:noProof/>
          <w:sz w:val="22"/>
          <w:lang w:val="en-US" w:eastAsia="en-US" w:bidi="ar-SA"/>
        </w:rPr>
      </w:pPr>
      <w:hyperlink w:anchor="_Toc104537041" w:history="1">
        <w:r w:rsidR="002D0DF9" w:rsidRPr="00852F20">
          <w:rPr>
            <w:rStyle w:val="Hyperlink"/>
            <w:noProof/>
          </w:rPr>
          <w:t>Microsoft Teams: Arama Planları, Telefon Sistemi ve Sesli Konferans</w:t>
        </w:r>
        <w:r w:rsidR="002D0DF9">
          <w:rPr>
            <w:noProof/>
            <w:webHidden/>
          </w:rPr>
          <w:tab/>
        </w:r>
        <w:r w:rsidR="002D0DF9">
          <w:rPr>
            <w:noProof/>
            <w:webHidden/>
          </w:rPr>
          <w:fldChar w:fldCharType="begin"/>
        </w:r>
        <w:r w:rsidR="002D0DF9">
          <w:rPr>
            <w:noProof/>
            <w:webHidden/>
          </w:rPr>
          <w:instrText xml:space="preserve"> PAGEREF _Toc104537041 \h </w:instrText>
        </w:r>
        <w:r w:rsidR="002D0DF9">
          <w:rPr>
            <w:noProof/>
            <w:webHidden/>
          </w:rPr>
        </w:r>
        <w:r w:rsidR="002D0DF9">
          <w:rPr>
            <w:noProof/>
            <w:webHidden/>
          </w:rPr>
          <w:fldChar w:fldCharType="separate"/>
        </w:r>
        <w:r w:rsidR="002D0DF9">
          <w:rPr>
            <w:noProof/>
            <w:webHidden/>
          </w:rPr>
          <w:t>16</w:t>
        </w:r>
        <w:r w:rsidR="002D0DF9">
          <w:rPr>
            <w:noProof/>
            <w:webHidden/>
          </w:rPr>
          <w:fldChar w:fldCharType="end"/>
        </w:r>
      </w:hyperlink>
    </w:p>
    <w:p w14:paraId="2FDE0064" w14:textId="72834FAC" w:rsidR="002D0DF9" w:rsidRDefault="007A6E55">
      <w:pPr>
        <w:pStyle w:val="TOC4"/>
        <w:tabs>
          <w:tab w:val="right" w:leader="dot" w:pos="5030"/>
        </w:tabs>
        <w:rPr>
          <w:rFonts w:eastAsiaTheme="minorEastAsia"/>
          <w:smallCaps w:val="0"/>
          <w:noProof/>
          <w:sz w:val="22"/>
          <w:lang w:val="en-US" w:eastAsia="en-US" w:bidi="ar-SA"/>
        </w:rPr>
      </w:pPr>
      <w:hyperlink w:anchor="_Toc104537042" w:history="1">
        <w:r w:rsidR="002D0DF9" w:rsidRPr="00852F20">
          <w:rPr>
            <w:rStyle w:val="Hyperlink"/>
            <w:noProof/>
          </w:rPr>
          <w:t>Microsoft Teams: Ses Kalitesi</w:t>
        </w:r>
        <w:r w:rsidR="002D0DF9">
          <w:rPr>
            <w:noProof/>
            <w:webHidden/>
          </w:rPr>
          <w:tab/>
        </w:r>
        <w:r w:rsidR="002D0DF9">
          <w:rPr>
            <w:noProof/>
            <w:webHidden/>
          </w:rPr>
          <w:fldChar w:fldCharType="begin"/>
        </w:r>
        <w:r w:rsidR="002D0DF9">
          <w:rPr>
            <w:noProof/>
            <w:webHidden/>
          </w:rPr>
          <w:instrText xml:space="preserve"> PAGEREF _Toc104537042 \h </w:instrText>
        </w:r>
        <w:r w:rsidR="002D0DF9">
          <w:rPr>
            <w:noProof/>
            <w:webHidden/>
          </w:rPr>
        </w:r>
        <w:r w:rsidR="002D0DF9">
          <w:rPr>
            <w:noProof/>
            <w:webHidden/>
          </w:rPr>
          <w:fldChar w:fldCharType="separate"/>
        </w:r>
        <w:r w:rsidR="002D0DF9">
          <w:rPr>
            <w:noProof/>
            <w:webHidden/>
          </w:rPr>
          <w:t>17</w:t>
        </w:r>
        <w:r w:rsidR="002D0DF9">
          <w:rPr>
            <w:noProof/>
            <w:webHidden/>
          </w:rPr>
          <w:fldChar w:fldCharType="end"/>
        </w:r>
      </w:hyperlink>
    </w:p>
    <w:p w14:paraId="72C1D8B6" w14:textId="0FD4D95F" w:rsidR="002D0DF9" w:rsidRDefault="007A6E55">
      <w:pPr>
        <w:pStyle w:val="TOC4"/>
        <w:tabs>
          <w:tab w:val="right" w:leader="dot" w:pos="5030"/>
        </w:tabs>
        <w:rPr>
          <w:rFonts w:eastAsiaTheme="minorEastAsia"/>
          <w:smallCaps w:val="0"/>
          <w:noProof/>
          <w:sz w:val="22"/>
          <w:lang w:val="en-US" w:eastAsia="en-US" w:bidi="ar-SA"/>
        </w:rPr>
      </w:pPr>
      <w:hyperlink w:anchor="_Toc104537043" w:history="1">
        <w:r w:rsidR="002D0DF9" w:rsidRPr="00852F20">
          <w:rPr>
            <w:rStyle w:val="Hyperlink"/>
            <w:noProof/>
          </w:rPr>
          <w:t>Workplace Analytics</w:t>
        </w:r>
        <w:r w:rsidR="002D0DF9">
          <w:rPr>
            <w:noProof/>
            <w:webHidden/>
          </w:rPr>
          <w:tab/>
        </w:r>
        <w:r w:rsidR="002D0DF9">
          <w:rPr>
            <w:noProof/>
            <w:webHidden/>
          </w:rPr>
          <w:fldChar w:fldCharType="begin"/>
        </w:r>
        <w:r w:rsidR="002D0DF9">
          <w:rPr>
            <w:noProof/>
            <w:webHidden/>
          </w:rPr>
          <w:instrText xml:space="preserve"> PAGEREF _Toc104537043 \h </w:instrText>
        </w:r>
        <w:r w:rsidR="002D0DF9">
          <w:rPr>
            <w:noProof/>
            <w:webHidden/>
          </w:rPr>
        </w:r>
        <w:r w:rsidR="002D0DF9">
          <w:rPr>
            <w:noProof/>
            <w:webHidden/>
          </w:rPr>
          <w:fldChar w:fldCharType="separate"/>
        </w:r>
        <w:r w:rsidR="002D0DF9">
          <w:rPr>
            <w:noProof/>
            <w:webHidden/>
          </w:rPr>
          <w:t>17</w:t>
        </w:r>
        <w:r w:rsidR="002D0DF9">
          <w:rPr>
            <w:noProof/>
            <w:webHidden/>
          </w:rPr>
          <w:fldChar w:fldCharType="end"/>
        </w:r>
      </w:hyperlink>
    </w:p>
    <w:p w14:paraId="11A3BCE6" w14:textId="0F798011" w:rsidR="002D0DF9" w:rsidRDefault="007A6E55">
      <w:pPr>
        <w:pStyle w:val="TOC4"/>
        <w:tabs>
          <w:tab w:val="right" w:leader="dot" w:pos="5030"/>
        </w:tabs>
        <w:rPr>
          <w:rFonts w:eastAsiaTheme="minorEastAsia"/>
          <w:smallCaps w:val="0"/>
          <w:noProof/>
          <w:sz w:val="22"/>
          <w:lang w:val="en-US" w:eastAsia="en-US" w:bidi="ar-SA"/>
        </w:rPr>
      </w:pPr>
      <w:hyperlink w:anchor="_Toc104537044" w:history="1">
        <w:r w:rsidR="002D0DF9" w:rsidRPr="00852F20">
          <w:rPr>
            <w:rStyle w:val="Hyperlink"/>
            <w:noProof/>
          </w:rPr>
          <w:t>Yammer Enterprise</w:t>
        </w:r>
        <w:r w:rsidR="002D0DF9">
          <w:rPr>
            <w:noProof/>
            <w:webHidden/>
          </w:rPr>
          <w:tab/>
        </w:r>
        <w:r w:rsidR="002D0DF9">
          <w:rPr>
            <w:noProof/>
            <w:webHidden/>
          </w:rPr>
          <w:fldChar w:fldCharType="begin"/>
        </w:r>
        <w:r w:rsidR="002D0DF9">
          <w:rPr>
            <w:noProof/>
            <w:webHidden/>
          </w:rPr>
          <w:instrText xml:space="preserve"> PAGEREF _Toc104537044 \h </w:instrText>
        </w:r>
        <w:r w:rsidR="002D0DF9">
          <w:rPr>
            <w:noProof/>
            <w:webHidden/>
          </w:rPr>
        </w:r>
        <w:r w:rsidR="002D0DF9">
          <w:rPr>
            <w:noProof/>
            <w:webHidden/>
          </w:rPr>
          <w:fldChar w:fldCharType="separate"/>
        </w:r>
        <w:r w:rsidR="002D0DF9">
          <w:rPr>
            <w:noProof/>
            <w:webHidden/>
          </w:rPr>
          <w:t>17</w:t>
        </w:r>
        <w:r w:rsidR="002D0DF9">
          <w:rPr>
            <w:noProof/>
            <w:webHidden/>
          </w:rPr>
          <w:fldChar w:fldCharType="end"/>
        </w:r>
      </w:hyperlink>
    </w:p>
    <w:p w14:paraId="519283EB" w14:textId="7F3E4D35" w:rsidR="002D0DF9" w:rsidRDefault="002D0DF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537045" w:history="1">
        <w:r w:rsidRPr="00852F20">
          <w:rPr>
            <w:rStyle w:val="Hyperlink"/>
            <w:noProof/>
          </w:rPr>
          <w:t>Microsoft Azure Hizmetleri ve Azure Planları</w:t>
        </w:r>
        <w:r>
          <w:rPr>
            <w:noProof/>
            <w:webHidden/>
          </w:rPr>
          <w:tab/>
        </w:r>
        <w:r>
          <w:rPr>
            <w:noProof/>
            <w:webHidden/>
          </w:rPr>
          <w:fldChar w:fldCharType="begin"/>
        </w:r>
        <w:r>
          <w:rPr>
            <w:noProof/>
            <w:webHidden/>
          </w:rPr>
          <w:instrText xml:space="preserve"> PAGEREF _Toc104537045 \h </w:instrText>
        </w:r>
        <w:r>
          <w:rPr>
            <w:noProof/>
            <w:webHidden/>
          </w:rPr>
        </w:r>
        <w:r>
          <w:rPr>
            <w:noProof/>
            <w:webHidden/>
          </w:rPr>
          <w:fldChar w:fldCharType="separate"/>
        </w:r>
        <w:r>
          <w:rPr>
            <w:noProof/>
            <w:webHidden/>
          </w:rPr>
          <w:t>18</w:t>
        </w:r>
        <w:r>
          <w:rPr>
            <w:noProof/>
            <w:webHidden/>
          </w:rPr>
          <w:fldChar w:fldCharType="end"/>
        </w:r>
      </w:hyperlink>
    </w:p>
    <w:p w14:paraId="7CDBA955" w14:textId="5D789B90" w:rsidR="002D0DF9" w:rsidRDefault="007A6E55">
      <w:pPr>
        <w:pStyle w:val="TOC2"/>
        <w:tabs>
          <w:tab w:val="right" w:leader="dot" w:pos="5030"/>
        </w:tabs>
        <w:rPr>
          <w:rFonts w:eastAsiaTheme="minorEastAsia"/>
          <w:b w:val="0"/>
          <w:smallCaps w:val="0"/>
          <w:noProof/>
          <w:sz w:val="22"/>
          <w:lang w:val="en-US" w:eastAsia="en-US" w:bidi="ar-SA"/>
        </w:rPr>
      </w:pPr>
      <w:hyperlink w:anchor="_Toc104537046" w:history="1">
        <w:r w:rsidR="002D0DF9" w:rsidRPr="00852F20">
          <w:rPr>
            <w:rStyle w:val="Hyperlink"/>
            <w:noProof/>
          </w:rPr>
          <w:t>Diğer Çevrimiçi Hizmetler</w:t>
        </w:r>
        <w:r w:rsidR="002D0DF9">
          <w:rPr>
            <w:noProof/>
            <w:webHidden/>
          </w:rPr>
          <w:tab/>
        </w:r>
        <w:r w:rsidR="002D0DF9">
          <w:rPr>
            <w:noProof/>
            <w:webHidden/>
          </w:rPr>
          <w:fldChar w:fldCharType="begin"/>
        </w:r>
        <w:r w:rsidR="002D0DF9">
          <w:rPr>
            <w:noProof/>
            <w:webHidden/>
          </w:rPr>
          <w:instrText xml:space="preserve"> PAGEREF _Toc104537046 \h </w:instrText>
        </w:r>
        <w:r w:rsidR="002D0DF9">
          <w:rPr>
            <w:noProof/>
            <w:webHidden/>
          </w:rPr>
        </w:r>
        <w:r w:rsidR="002D0DF9">
          <w:rPr>
            <w:noProof/>
            <w:webHidden/>
          </w:rPr>
          <w:fldChar w:fldCharType="separate"/>
        </w:r>
        <w:r w:rsidR="002D0DF9">
          <w:rPr>
            <w:noProof/>
            <w:webHidden/>
          </w:rPr>
          <w:t>18</w:t>
        </w:r>
        <w:r w:rsidR="002D0DF9">
          <w:rPr>
            <w:noProof/>
            <w:webHidden/>
          </w:rPr>
          <w:fldChar w:fldCharType="end"/>
        </w:r>
      </w:hyperlink>
    </w:p>
    <w:p w14:paraId="11FC0F5A" w14:textId="68C1405D" w:rsidR="002D0DF9" w:rsidRDefault="007A6E55">
      <w:pPr>
        <w:pStyle w:val="TOC4"/>
        <w:tabs>
          <w:tab w:val="right" w:leader="dot" w:pos="5030"/>
        </w:tabs>
        <w:rPr>
          <w:rFonts w:eastAsiaTheme="minorEastAsia"/>
          <w:smallCaps w:val="0"/>
          <w:noProof/>
          <w:sz w:val="22"/>
          <w:lang w:val="en-US" w:eastAsia="en-US" w:bidi="ar-SA"/>
        </w:rPr>
      </w:pPr>
      <w:hyperlink w:anchor="_Toc104537047" w:history="1">
        <w:r w:rsidR="002D0DF9" w:rsidRPr="00852F20">
          <w:rPr>
            <w:rStyle w:val="Hyperlink"/>
            <w:noProof/>
          </w:rPr>
          <w:t>Bing Maps Kurumsal Platform</w:t>
        </w:r>
        <w:r w:rsidR="002D0DF9">
          <w:rPr>
            <w:noProof/>
            <w:webHidden/>
          </w:rPr>
          <w:tab/>
        </w:r>
        <w:r w:rsidR="002D0DF9">
          <w:rPr>
            <w:noProof/>
            <w:webHidden/>
          </w:rPr>
          <w:fldChar w:fldCharType="begin"/>
        </w:r>
        <w:r w:rsidR="002D0DF9">
          <w:rPr>
            <w:noProof/>
            <w:webHidden/>
          </w:rPr>
          <w:instrText xml:space="preserve"> PAGEREF _Toc104537047 \h </w:instrText>
        </w:r>
        <w:r w:rsidR="002D0DF9">
          <w:rPr>
            <w:noProof/>
            <w:webHidden/>
          </w:rPr>
        </w:r>
        <w:r w:rsidR="002D0DF9">
          <w:rPr>
            <w:noProof/>
            <w:webHidden/>
          </w:rPr>
          <w:fldChar w:fldCharType="separate"/>
        </w:r>
        <w:r w:rsidR="002D0DF9">
          <w:rPr>
            <w:noProof/>
            <w:webHidden/>
          </w:rPr>
          <w:t>18</w:t>
        </w:r>
        <w:r w:rsidR="002D0DF9">
          <w:rPr>
            <w:noProof/>
            <w:webHidden/>
          </w:rPr>
          <w:fldChar w:fldCharType="end"/>
        </w:r>
      </w:hyperlink>
    </w:p>
    <w:p w14:paraId="0DE5B1B6" w14:textId="4597D459" w:rsidR="002D0DF9" w:rsidRDefault="007A6E55">
      <w:pPr>
        <w:pStyle w:val="TOC4"/>
        <w:tabs>
          <w:tab w:val="right" w:leader="dot" w:pos="5030"/>
        </w:tabs>
        <w:rPr>
          <w:rFonts w:eastAsiaTheme="minorEastAsia"/>
          <w:smallCaps w:val="0"/>
          <w:noProof/>
          <w:sz w:val="22"/>
          <w:lang w:val="en-US" w:eastAsia="en-US" w:bidi="ar-SA"/>
        </w:rPr>
      </w:pPr>
      <w:hyperlink w:anchor="_Toc104537048" w:history="1">
        <w:r w:rsidR="002D0DF9" w:rsidRPr="00852F20">
          <w:rPr>
            <w:rStyle w:val="Hyperlink"/>
            <w:noProof/>
          </w:rPr>
          <w:t>Bing Maps Mobil Varlık Yönetimi</w:t>
        </w:r>
        <w:r w:rsidR="002D0DF9">
          <w:rPr>
            <w:noProof/>
            <w:webHidden/>
          </w:rPr>
          <w:tab/>
        </w:r>
        <w:r w:rsidR="002D0DF9">
          <w:rPr>
            <w:noProof/>
            <w:webHidden/>
          </w:rPr>
          <w:fldChar w:fldCharType="begin"/>
        </w:r>
        <w:r w:rsidR="002D0DF9">
          <w:rPr>
            <w:noProof/>
            <w:webHidden/>
          </w:rPr>
          <w:instrText xml:space="preserve"> PAGEREF _Toc104537048 \h </w:instrText>
        </w:r>
        <w:r w:rsidR="002D0DF9">
          <w:rPr>
            <w:noProof/>
            <w:webHidden/>
          </w:rPr>
        </w:r>
        <w:r w:rsidR="002D0DF9">
          <w:rPr>
            <w:noProof/>
            <w:webHidden/>
          </w:rPr>
          <w:fldChar w:fldCharType="separate"/>
        </w:r>
        <w:r w:rsidR="002D0DF9">
          <w:rPr>
            <w:noProof/>
            <w:webHidden/>
          </w:rPr>
          <w:t>19</w:t>
        </w:r>
        <w:r w:rsidR="002D0DF9">
          <w:rPr>
            <w:noProof/>
            <w:webHidden/>
          </w:rPr>
          <w:fldChar w:fldCharType="end"/>
        </w:r>
      </w:hyperlink>
    </w:p>
    <w:p w14:paraId="3FDF4791" w14:textId="1B8892B4" w:rsidR="002D0DF9" w:rsidRDefault="007A6E55">
      <w:pPr>
        <w:pStyle w:val="TOC4"/>
        <w:tabs>
          <w:tab w:val="right" w:leader="dot" w:pos="5030"/>
        </w:tabs>
        <w:rPr>
          <w:rFonts w:eastAsiaTheme="minorEastAsia"/>
          <w:smallCaps w:val="0"/>
          <w:noProof/>
          <w:sz w:val="22"/>
          <w:lang w:val="en-US" w:eastAsia="en-US" w:bidi="ar-SA"/>
        </w:rPr>
      </w:pPr>
      <w:hyperlink w:anchor="_Toc104537049" w:history="1">
        <w:r w:rsidR="002D0DF9" w:rsidRPr="00852F20">
          <w:rPr>
            <w:rStyle w:val="Hyperlink"/>
            <w:noProof/>
          </w:rPr>
          <w:t>Microsoft Cloud App Security</w:t>
        </w:r>
        <w:r w:rsidR="002D0DF9">
          <w:rPr>
            <w:noProof/>
            <w:webHidden/>
          </w:rPr>
          <w:tab/>
        </w:r>
        <w:r w:rsidR="002D0DF9">
          <w:rPr>
            <w:noProof/>
            <w:webHidden/>
          </w:rPr>
          <w:fldChar w:fldCharType="begin"/>
        </w:r>
        <w:r w:rsidR="002D0DF9">
          <w:rPr>
            <w:noProof/>
            <w:webHidden/>
          </w:rPr>
          <w:instrText xml:space="preserve"> PAGEREF _Toc104537049 \h </w:instrText>
        </w:r>
        <w:r w:rsidR="002D0DF9">
          <w:rPr>
            <w:noProof/>
            <w:webHidden/>
          </w:rPr>
        </w:r>
        <w:r w:rsidR="002D0DF9">
          <w:rPr>
            <w:noProof/>
            <w:webHidden/>
          </w:rPr>
          <w:fldChar w:fldCharType="separate"/>
        </w:r>
        <w:r w:rsidR="002D0DF9">
          <w:rPr>
            <w:noProof/>
            <w:webHidden/>
          </w:rPr>
          <w:t>19</w:t>
        </w:r>
        <w:r w:rsidR="002D0DF9">
          <w:rPr>
            <w:noProof/>
            <w:webHidden/>
          </w:rPr>
          <w:fldChar w:fldCharType="end"/>
        </w:r>
      </w:hyperlink>
    </w:p>
    <w:p w14:paraId="73C96535" w14:textId="05198A7B" w:rsidR="002D0DF9" w:rsidRDefault="007A6E55">
      <w:pPr>
        <w:pStyle w:val="TOC4"/>
        <w:tabs>
          <w:tab w:val="right" w:leader="dot" w:pos="5030"/>
        </w:tabs>
        <w:rPr>
          <w:rFonts w:eastAsiaTheme="minorEastAsia"/>
          <w:smallCaps w:val="0"/>
          <w:noProof/>
          <w:sz w:val="22"/>
          <w:lang w:val="en-US" w:eastAsia="en-US" w:bidi="ar-SA"/>
        </w:rPr>
      </w:pPr>
      <w:hyperlink w:anchor="_Toc104537050" w:history="1">
        <w:r w:rsidR="002D0DF9" w:rsidRPr="00852F20">
          <w:rPr>
            <w:rStyle w:val="Hyperlink"/>
            <w:noProof/>
          </w:rPr>
          <w:t>Microsoft Power Automate</w:t>
        </w:r>
        <w:r w:rsidR="002D0DF9">
          <w:rPr>
            <w:noProof/>
            <w:webHidden/>
          </w:rPr>
          <w:tab/>
        </w:r>
        <w:r w:rsidR="002D0DF9">
          <w:rPr>
            <w:noProof/>
            <w:webHidden/>
          </w:rPr>
          <w:fldChar w:fldCharType="begin"/>
        </w:r>
        <w:r w:rsidR="002D0DF9">
          <w:rPr>
            <w:noProof/>
            <w:webHidden/>
          </w:rPr>
          <w:instrText xml:space="preserve"> PAGEREF _Toc104537050 \h </w:instrText>
        </w:r>
        <w:r w:rsidR="002D0DF9">
          <w:rPr>
            <w:noProof/>
            <w:webHidden/>
          </w:rPr>
        </w:r>
        <w:r w:rsidR="002D0DF9">
          <w:rPr>
            <w:noProof/>
            <w:webHidden/>
          </w:rPr>
          <w:fldChar w:fldCharType="separate"/>
        </w:r>
        <w:r w:rsidR="002D0DF9">
          <w:rPr>
            <w:noProof/>
            <w:webHidden/>
          </w:rPr>
          <w:t>20</w:t>
        </w:r>
        <w:r w:rsidR="002D0DF9">
          <w:rPr>
            <w:noProof/>
            <w:webHidden/>
          </w:rPr>
          <w:fldChar w:fldCharType="end"/>
        </w:r>
      </w:hyperlink>
    </w:p>
    <w:p w14:paraId="103C92CD" w14:textId="38A66A35" w:rsidR="002D0DF9" w:rsidRDefault="007A6E55">
      <w:pPr>
        <w:pStyle w:val="TOC4"/>
        <w:tabs>
          <w:tab w:val="right" w:leader="dot" w:pos="5030"/>
        </w:tabs>
        <w:rPr>
          <w:rFonts w:eastAsiaTheme="minorEastAsia"/>
          <w:smallCaps w:val="0"/>
          <w:noProof/>
          <w:sz w:val="22"/>
          <w:lang w:val="en-US" w:eastAsia="en-US" w:bidi="ar-SA"/>
        </w:rPr>
      </w:pPr>
      <w:hyperlink w:anchor="_Toc104537051" w:history="1">
        <w:r w:rsidR="002D0DF9" w:rsidRPr="00852F20">
          <w:rPr>
            <w:rStyle w:val="Hyperlink"/>
            <w:noProof/>
          </w:rPr>
          <w:t>Microsoft Intune</w:t>
        </w:r>
        <w:r w:rsidR="002D0DF9">
          <w:rPr>
            <w:noProof/>
            <w:webHidden/>
          </w:rPr>
          <w:tab/>
        </w:r>
        <w:r w:rsidR="002D0DF9">
          <w:rPr>
            <w:noProof/>
            <w:webHidden/>
          </w:rPr>
          <w:fldChar w:fldCharType="begin"/>
        </w:r>
        <w:r w:rsidR="002D0DF9">
          <w:rPr>
            <w:noProof/>
            <w:webHidden/>
          </w:rPr>
          <w:instrText xml:space="preserve"> PAGEREF _Toc104537051 \h </w:instrText>
        </w:r>
        <w:r w:rsidR="002D0DF9">
          <w:rPr>
            <w:noProof/>
            <w:webHidden/>
          </w:rPr>
        </w:r>
        <w:r w:rsidR="002D0DF9">
          <w:rPr>
            <w:noProof/>
            <w:webHidden/>
          </w:rPr>
          <w:fldChar w:fldCharType="separate"/>
        </w:r>
        <w:r w:rsidR="002D0DF9">
          <w:rPr>
            <w:noProof/>
            <w:webHidden/>
          </w:rPr>
          <w:t>20</w:t>
        </w:r>
        <w:r w:rsidR="002D0DF9">
          <w:rPr>
            <w:noProof/>
            <w:webHidden/>
          </w:rPr>
          <w:fldChar w:fldCharType="end"/>
        </w:r>
      </w:hyperlink>
    </w:p>
    <w:p w14:paraId="7ED86F5A" w14:textId="6BDDC6B2" w:rsidR="002D0DF9" w:rsidRDefault="007A6E55">
      <w:pPr>
        <w:pStyle w:val="TOC4"/>
        <w:tabs>
          <w:tab w:val="right" w:leader="dot" w:pos="5030"/>
        </w:tabs>
        <w:rPr>
          <w:rFonts w:eastAsiaTheme="minorEastAsia"/>
          <w:smallCaps w:val="0"/>
          <w:noProof/>
          <w:sz w:val="22"/>
          <w:lang w:val="en-US" w:eastAsia="en-US" w:bidi="ar-SA"/>
        </w:rPr>
      </w:pPr>
      <w:hyperlink w:anchor="_Toc104537052" w:history="1">
        <w:r w:rsidR="002D0DF9" w:rsidRPr="00852F20">
          <w:rPr>
            <w:rStyle w:val="Hyperlink"/>
            <w:noProof/>
          </w:rPr>
          <w:t>Microsoft Kaizala Pro</w:t>
        </w:r>
        <w:r w:rsidR="002D0DF9">
          <w:rPr>
            <w:noProof/>
            <w:webHidden/>
          </w:rPr>
          <w:tab/>
        </w:r>
        <w:r w:rsidR="002D0DF9">
          <w:rPr>
            <w:noProof/>
            <w:webHidden/>
          </w:rPr>
          <w:fldChar w:fldCharType="begin"/>
        </w:r>
        <w:r w:rsidR="002D0DF9">
          <w:rPr>
            <w:noProof/>
            <w:webHidden/>
          </w:rPr>
          <w:instrText xml:space="preserve"> PAGEREF _Toc104537052 \h </w:instrText>
        </w:r>
        <w:r w:rsidR="002D0DF9">
          <w:rPr>
            <w:noProof/>
            <w:webHidden/>
          </w:rPr>
        </w:r>
        <w:r w:rsidR="002D0DF9">
          <w:rPr>
            <w:noProof/>
            <w:webHidden/>
          </w:rPr>
          <w:fldChar w:fldCharType="separate"/>
        </w:r>
        <w:r w:rsidR="002D0DF9">
          <w:rPr>
            <w:noProof/>
            <w:webHidden/>
          </w:rPr>
          <w:t>20</w:t>
        </w:r>
        <w:r w:rsidR="002D0DF9">
          <w:rPr>
            <w:noProof/>
            <w:webHidden/>
          </w:rPr>
          <w:fldChar w:fldCharType="end"/>
        </w:r>
      </w:hyperlink>
    </w:p>
    <w:p w14:paraId="5034C854" w14:textId="22A066B3" w:rsidR="002D0DF9" w:rsidRDefault="007A6E55">
      <w:pPr>
        <w:pStyle w:val="TOC4"/>
        <w:tabs>
          <w:tab w:val="right" w:leader="dot" w:pos="5030"/>
        </w:tabs>
        <w:rPr>
          <w:rFonts w:eastAsiaTheme="minorEastAsia"/>
          <w:smallCaps w:val="0"/>
          <w:noProof/>
          <w:sz w:val="22"/>
          <w:lang w:val="en-US" w:eastAsia="en-US" w:bidi="ar-SA"/>
        </w:rPr>
      </w:pPr>
      <w:hyperlink w:anchor="_Toc104537053" w:history="1">
        <w:r w:rsidR="002D0DF9" w:rsidRPr="00852F20">
          <w:rPr>
            <w:rStyle w:val="Hyperlink"/>
            <w:noProof/>
          </w:rPr>
          <w:t>Microsoft Power Apps</w:t>
        </w:r>
        <w:r w:rsidR="002D0DF9">
          <w:rPr>
            <w:noProof/>
            <w:webHidden/>
          </w:rPr>
          <w:tab/>
        </w:r>
        <w:r w:rsidR="002D0DF9">
          <w:rPr>
            <w:noProof/>
            <w:webHidden/>
          </w:rPr>
          <w:fldChar w:fldCharType="begin"/>
        </w:r>
        <w:r w:rsidR="002D0DF9">
          <w:rPr>
            <w:noProof/>
            <w:webHidden/>
          </w:rPr>
          <w:instrText xml:space="preserve"> PAGEREF _Toc104537053 \h </w:instrText>
        </w:r>
        <w:r w:rsidR="002D0DF9">
          <w:rPr>
            <w:noProof/>
            <w:webHidden/>
          </w:rPr>
        </w:r>
        <w:r w:rsidR="002D0DF9">
          <w:rPr>
            <w:noProof/>
            <w:webHidden/>
          </w:rPr>
          <w:fldChar w:fldCharType="separate"/>
        </w:r>
        <w:r w:rsidR="002D0DF9">
          <w:rPr>
            <w:noProof/>
            <w:webHidden/>
          </w:rPr>
          <w:t>21</w:t>
        </w:r>
        <w:r w:rsidR="002D0DF9">
          <w:rPr>
            <w:noProof/>
            <w:webHidden/>
          </w:rPr>
          <w:fldChar w:fldCharType="end"/>
        </w:r>
      </w:hyperlink>
    </w:p>
    <w:p w14:paraId="13F62971" w14:textId="2A6B5F45" w:rsidR="002D0DF9" w:rsidRDefault="007A6E55">
      <w:pPr>
        <w:pStyle w:val="TOC4"/>
        <w:tabs>
          <w:tab w:val="right" w:leader="dot" w:pos="5030"/>
        </w:tabs>
        <w:rPr>
          <w:rFonts w:eastAsiaTheme="minorEastAsia"/>
          <w:smallCaps w:val="0"/>
          <w:noProof/>
          <w:sz w:val="22"/>
          <w:lang w:val="en-US" w:eastAsia="en-US" w:bidi="ar-SA"/>
        </w:rPr>
      </w:pPr>
      <w:hyperlink w:anchor="_Toc104537054" w:history="1">
        <w:r w:rsidR="002D0DF9" w:rsidRPr="00852F20">
          <w:rPr>
            <w:rStyle w:val="Hyperlink"/>
            <w:noProof/>
          </w:rPr>
          <w:t>Microsoft Power Sanal Aracıları</w:t>
        </w:r>
        <w:r w:rsidR="002D0DF9">
          <w:rPr>
            <w:noProof/>
            <w:webHidden/>
          </w:rPr>
          <w:tab/>
        </w:r>
        <w:r w:rsidR="002D0DF9">
          <w:rPr>
            <w:noProof/>
            <w:webHidden/>
          </w:rPr>
          <w:fldChar w:fldCharType="begin"/>
        </w:r>
        <w:r w:rsidR="002D0DF9">
          <w:rPr>
            <w:noProof/>
            <w:webHidden/>
          </w:rPr>
          <w:instrText xml:space="preserve"> PAGEREF _Toc104537054 \h </w:instrText>
        </w:r>
        <w:r w:rsidR="002D0DF9">
          <w:rPr>
            <w:noProof/>
            <w:webHidden/>
          </w:rPr>
        </w:r>
        <w:r w:rsidR="002D0DF9">
          <w:rPr>
            <w:noProof/>
            <w:webHidden/>
          </w:rPr>
          <w:fldChar w:fldCharType="separate"/>
        </w:r>
        <w:r w:rsidR="002D0DF9">
          <w:rPr>
            <w:noProof/>
            <w:webHidden/>
          </w:rPr>
          <w:t>21</w:t>
        </w:r>
        <w:r w:rsidR="002D0DF9">
          <w:rPr>
            <w:noProof/>
            <w:webHidden/>
          </w:rPr>
          <w:fldChar w:fldCharType="end"/>
        </w:r>
      </w:hyperlink>
    </w:p>
    <w:p w14:paraId="65A08F3E" w14:textId="6F7F6B09" w:rsidR="002D0DF9" w:rsidRDefault="007A6E55">
      <w:pPr>
        <w:pStyle w:val="TOC4"/>
        <w:tabs>
          <w:tab w:val="right" w:leader="dot" w:pos="5030"/>
        </w:tabs>
        <w:rPr>
          <w:rFonts w:eastAsiaTheme="minorEastAsia"/>
          <w:smallCaps w:val="0"/>
          <w:noProof/>
          <w:sz w:val="22"/>
          <w:lang w:val="en-US" w:eastAsia="en-US" w:bidi="ar-SA"/>
        </w:rPr>
      </w:pPr>
      <w:hyperlink w:anchor="_Toc104537055" w:history="1">
        <w:r w:rsidR="002D0DF9" w:rsidRPr="00852F20">
          <w:rPr>
            <w:rStyle w:val="Hyperlink"/>
            <w:noProof/>
          </w:rPr>
          <w:t>Microsoft Sürdürülebilirlik Yöneticisi</w:t>
        </w:r>
        <w:r w:rsidR="002D0DF9">
          <w:rPr>
            <w:noProof/>
            <w:webHidden/>
          </w:rPr>
          <w:tab/>
        </w:r>
        <w:r w:rsidR="002D0DF9">
          <w:rPr>
            <w:noProof/>
            <w:webHidden/>
          </w:rPr>
          <w:fldChar w:fldCharType="begin"/>
        </w:r>
        <w:r w:rsidR="002D0DF9">
          <w:rPr>
            <w:noProof/>
            <w:webHidden/>
          </w:rPr>
          <w:instrText xml:space="preserve"> PAGEREF _Toc104537055 \h </w:instrText>
        </w:r>
        <w:r w:rsidR="002D0DF9">
          <w:rPr>
            <w:noProof/>
            <w:webHidden/>
          </w:rPr>
        </w:r>
        <w:r w:rsidR="002D0DF9">
          <w:rPr>
            <w:noProof/>
            <w:webHidden/>
          </w:rPr>
          <w:fldChar w:fldCharType="separate"/>
        </w:r>
        <w:r w:rsidR="002D0DF9">
          <w:rPr>
            <w:noProof/>
            <w:webHidden/>
          </w:rPr>
          <w:t>21</w:t>
        </w:r>
        <w:r w:rsidR="002D0DF9">
          <w:rPr>
            <w:noProof/>
            <w:webHidden/>
          </w:rPr>
          <w:fldChar w:fldCharType="end"/>
        </w:r>
      </w:hyperlink>
    </w:p>
    <w:p w14:paraId="5BA42A65" w14:textId="4D8B662C" w:rsidR="002D0DF9" w:rsidRDefault="007A6E55">
      <w:pPr>
        <w:pStyle w:val="TOC4"/>
        <w:tabs>
          <w:tab w:val="right" w:leader="dot" w:pos="5030"/>
        </w:tabs>
        <w:rPr>
          <w:rFonts w:eastAsiaTheme="minorEastAsia"/>
          <w:smallCaps w:val="0"/>
          <w:noProof/>
          <w:sz w:val="22"/>
          <w:lang w:val="en-US" w:eastAsia="en-US" w:bidi="ar-SA"/>
        </w:rPr>
      </w:pPr>
      <w:hyperlink w:anchor="_Toc104537056" w:history="1">
        <w:r w:rsidR="002D0DF9" w:rsidRPr="00852F20">
          <w:rPr>
            <w:rStyle w:val="Hyperlink"/>
            <w:noProof/>
          </w:rPr>
          <w:t>Minecraft: Education Edition</w:t>
        </w:r>
        <w:r w:rsidR="002D0DF9">
          <w:rPr>
            <w:noProof/>
            <w:webHidden/>
          </w:rPr>
          <w:tab/>
        </w:r>
        <w:r w:rsidR="002D0DF9">
          <w:rPr>
            <w:noProof/>
            <w:webHidden/>
          </w:rPr>
          <w:fldChar w:fldCharType="begin"/>
        </w:r>
        <w:r w:rsidR="002D0DF9">
          <w:rPr>
            <w:noProof/>
            <w:webHidden/>
          </w:rPr>
          <w:instrText xml:space="preserve"> PAGEREF _Toc104537056 \h </w:instrText>
        </w:r>
        <w:r w:rsidR="002D0DF9">
          <w:rPr>
            <w:noProof/>
            <w:webHidden/>
          </w:rPr>
        </w:r>
        <w:r w:rsidR="002D0DF9">
          <w:rPr>
            <w:noProof/>
            <w:webHidden/>
          </w:rPr>
          <w:fldChar w:fldCharType="separate"/>
        </w:r>
        <w:r w:rsidR="002D0DF9">
          <w:rPr>
            <w:noProof/>
            <w:webHidden/>
          </w:rPr>
          <w:t>22</w:t>
        </w:r>
        <w:r w:rsidR="002D0DF9">
          <w:rPr>
            <w:noProof/>
            <w:webHidden/>
          </w:rPr>
          <w:fldChar w:fldCharType="end"/>
        </w:r>
      </w:hyperlink>
    </w:p>
    <w:p w14:paraId="43FB3B9C" w14:textId="5602A9D7" w:rsidR="002D0DF9" w:rsidRDefault="007A6E55">
      <w:pPr>
        <w:pStyle w:val="TOC4"/>
        <w:tabs>
          <w:tab w:val="right" w:leader="dot" w:pos="5030"/>
        </w:tabs>
        <w:rPr>
          <w:rFonts w:eastAsiaTheme="minorEastAsia"/>
          <w:smallCaps w:val="0"/>
          <w:noProof/>
          <w:sz w:val="22"/>
          <w:lang w:val="en-US" w:eastAsia="en-US" w:bidi="ar-SA"/>
        </w:rPr>
      </w:pPr>
      <w:hyperlink w:anchor="_Toc104537057" w:history="1">
        <w:r w:rsidR="002D0DF9" w:rsidRPr="00852F20">
          <w:rPr>
            <w:rStyle w:val="Hyperlink"/>
            <w:noProof/>
          </w:rPr>
          <w:t>Power BI Embedded</w:t>
        </w:r>
        <w:r w:rsidR="002D0DF9">
          <w:rPr>
            <w:noProof/>
            <w:webHidden/>
          </w:rPr>
          <w:tab/>
        </w:r>
        <w:r w:rsidR="002D0DF9">
          <w:rPr>
            <w:noProof/>
            <w:webHidden/>
          </w:rPr>
          <w:fldChar w:fldCharType="begin"/>
        </w:r>
        <w:r w:rsidR="002D0DF9">
          <w:rPr>
            <w:noProof/>
            <w:webHidden/>
          </w:rPr>
          <w:instrText xml:space="preserve"> PAGEREF _Toc104537057 \h </w:instrText>
        </w:r>
        <w:r w:rsidR="002D0DF9">
          <w:rPr>
            <w:noProof/>
            <w:webHidden/>
          </w:rPr>
        </w:r>
        <w:r w:rsidR="002D0DF9">
          <w:rPr>
            <w:noProof/>
            <w:webHidden/>
          </w:rPr>
          <w:fldChar w:fldCharType="separate"/>
        </w:r>
        <w:r w:rsidR="002D0DF9">
          <w:rPr>
            <w:noProof/>
            <w:webHidden/>
          </w:rPr>
          <w:t>22</w:t>
        </w:r>
        <w:r w:rsidR="002D0DF9">
          <w:rPr>
            <w:noProof/>
            <w:webHidden/>
          </w:rPr>
          <w:fldChar w:fldCharType="end"/>
        </w:r>
      </w:hyperlink>
    </w:p>
    <w:p w14:paraId="182A9E20" w14:textId="758F0D11" w:rsidR="002D0DF9" w:rsidRDefault="007A6E55">
      <w:pPr>
        <w:pStyle w:val="TOC4"/>
        <w:tabs>
          <w:tab w:val="right" w:leader="dot" w:pos="5030"/>
        </w:tabs>
        <w:rPr>
          <w:rFonts w:eastAsiaTheme="minorEastAsia"/>
          <w:smallCaps w:val="0"/>
          <w:noProof/>
          <w:sz w:val="22"/>
          <w:lang w:val="en-US" w:eastAsia="en-US" w:bidi="ar-SA"/>
        </w:rPr>
      </w:pPr>
      <w:hyperlink w:anchor="_Toc104537058" w:history="1">
        <w:r w:rsidR="002D0DF9" w:rsidRPr="00852F20">
          <w:rPr>
            <w:rStyle w:val="Hyperlink"/>
            <w:noProof/>
          </w:rPr>
          <w:t>Power BI Premium</w:t>
        </w:r>
        <w:r w:rsidR="002D0DF9">
          <w:rPr>
            <w:noProof/>
            <w:webHidden/>
          </w:rPr>
          <w:tab/>
        </w:r>
        <w:r w:rsidR="002D0DF9">
          <w:rPr>
            <w:noProof/>
            <w:webHidden/>
          </w:rPr>
          <w:fldChar w:fldCharType="begin"/>
        </w:r>
        <w:r w:rsidR="002D0DF9">
          <w:rPr>
            <w:noProof/>
            <w:webHidden/>
          </w:rPr>
          <w:instrText xml:space="preserve"> PAGEREF _Toc104537058 \h </w:instrText>
        </w:r>
        <w:r w:rsidR="002D0DF9">
          <w:rPr>
            <w:noProof/>
            <w:webHidden/>
          </w:rPr>
        </w:r>
        <w:r w:rsidR="002D0DF9">
          <w:rPr>
            <w:noProof/>
            <w:webHidden/>
          </w:rPr>
          <w:fldChar w:fldCharType="separate"/>
        </w:r>
        <w:r w:rsidR="002D0DF9">
          <w:rPr>
            <w:noProof/>
            <w:webHidden/>
          </w:rPr>
          <w:t>23</w:t>
        </w:r>
        <w:r w:rsidR="002D0DF9">
          <w:rPr>
            <w:noProof/>
            <w:webHidden/>
          </w:rPr>
          <w:fldChar w:fldCharType="end"/>
        </w:r>
      </w:hyperlink>
    </w:p>
    <w:p w14:paraId="3600EBEC" w14:textId="0986B35E" w:rsidR="002D0DF9" w:rsidRDefault="007A6E55">
      <w:pPr>
        <w:pStyle w:val="TOC4"/>
        <w:tabs>
          <w:tab w:val="right" w:leader="dot" w:pos="5030"/>
        </w:tabs>
        <w:rPr>
          <w:rFonts w:eastAsiaTheme="minorEastAsia"/>
          <w:smallCaps w:val="0"/>
          <w:noProof/>
          <w:sz w:val="22"/>
          <w:lang w:val="en-US" w:eastAsia="en-US" w:bidi="ar-SA"/>
        </w:rPr>
      </w:pPr>
      <w:hyperlink w:anchor="_Toc104537059" w:history="1">
        <w:r w:rsidR="002D0DF9" w:rsidRPr="00852F20">
          <w:rPr>
            <w:rStyle w:val="Hyperlink"/>
            <w:noProof/>
          </w:rPr>
          <w:t>Power BI Pro</w:t>
        </w:r>
        <w:r w:rsidR="002D0DF9">
          <w:rPr>
            <w:noProof/>
            <w:webHidden/>
          </w:rPr>
          <w:tab/>
        </w:r>
        <w:r w:rsidR="002D0DF9">
          <w:rPr>
            <w:noProof/>
            <w:webHidden/>
          </w:rPr>
          <w:fldChar w:fldCharType="begin"/>
        </w:r>
        <w:r w:rsidR="002D0DF9">
          <w:rPr>
            <w:noProof/>
            <w:webHidden/>
          </w:rPr>
          <w:instrText xml:space="preserve"> PAGEREF _Toc104537059 \h </w:instrText>
        </w:r>
        <w:r w:rsidR="002D0DF9">
          <w:rPr>
            <w:noProof/>
            <w:webHidden/>
          </w:rPr>
        </w:r>
        <w:r w:rsidR="002D0DF9">
          <w:rPr>
            <w:noProof/>
            <w:webHidden/>
          </w:rPr>
          <w:fldChar w:fldCharType="separate"/>
        </w:r>
        <w:r w:rsidR="002D0DF9">
          <w:rPr>
            <w:noProof/>
            <w:webHidden/>
          </w:rPr>
          <w:t>23</w:t>
        </w:r>
        <w:r w:rsidR="002D0DF9">
          <w:rPr>
            <w:noProof/>
            <w:webHidden/>
          </w:rPr>
          <w:fldChar w:fldCharType="end"/>
        </w:r>
      </w:hyperlink>
    </w:p>
    <w:p w14:paraId="5C677C59" w14:textId="64284E98" w:rsidR="002D0DF9" w:rsidRDefault="007A6E55">
      <w:pPr>
        <w:pStyle w:val="TOC4"/>
        <w:tabs>
          <w:tab w:val="right" w:leader="dot" w:pos="5030"/>
        </w:tabs>
        <w:rPr>
          <w:rFonts w:eastAsiaTheme="minorEastAsia"/>
          <w:smallCaps w:val="0"/>
          <w:noProof/>
          <w:sz w:val="22"/>
          <w:lang w:val="en-US" w:eastAsia="en-US" w:bidi="ar-SA"/>
        </w:rPr>
      </w:pPr>
      <w:hyperlink w:anchor="_Toc104537060" w:history="1">
        <w:r w:rsidR="002D0DF9" w:rsidRPr="00852F20">
          <w:rPr>
            <w:rStyle w:val="Hyperlink"/>
            <w:noProof/>
          </w:rPr>
          <w:t>Translator API</w:t>
        </w:r>
        <w:r w:rsidR="002D0DF9">
          <w:rPr>
            <w:noProof/>
            <w:webHidden/>
          </w:rPr>
          <w:tab/>
        </w:r>
        <w:r w:rsidR="002D0DF9">
          <w:rPr>
            <w:noProof/>
            <w:webHidden/>
          </w:rPr>
          <w:fldChar w:fldCharType="begin"/>
        </w:r>
        <w:r w:rsidR="002D0DF9">
          <w:rPr>
            <w:noProof/>
            <w:webHidden/>
          </w:rPr>
          <w:instrText xml:space="preserve"> PAGEREF _Toc104537060 \h </w:instrText>
        </w:r>
        <w:r w:rsidR="002D0DF9">
          <w:rPr>
            <w:noProof/>
            <w:webHidden/>
          </w:rPr>
        </w:r>
        <w:r w:rsidR="002D0DF9">
          <w:rPr>
            <w:noProof/>
            <w:webHidden/>
          </w:rPr>
          <w:fldChar w:fldCharType="separate"/>
        </w:r>
        <w:r w:rsidR="002D0DF9">
          <w:rPr>
            <w:noProof/>
            <w:webHidden/>
          </w:rPr>
          <w:t>23</w:t>
        </w:r>
        <w:r w:rsidR="002D0DF9">
          <w:rPr>
            <w:noProof/>
            <w:webHidden/>
          </w:rPr>
          <w:fldChar w:fldCharType="end"/>
        </w:r>
      </w:hyperlink>
    </w:p>
    <w:p w14:paraId="091A4458" w14:textId="1E179AAB" w:rsidR="002D0DF9" w:rsidRDefault="007A6E55">
      <w:pPr>
        <w:pStyle w:val="TOC4"/>
        <w:tabs>
          <w:tab w:val="right" w:leader="dot" w:pos="5030"/>
        </w:tabs>
        <w:rPr>
          <w:rFonts w:eastAsiaTheme="minorEastAsia"/>
          <w:smallCaps w:val="0"/>
          <w:noProof/>
          <w:sz w:val="22"/>
          <w:lang w:val="en-US" w:eastAsia="en-US" w:bidi="ar-SA"/>
        </w:rPr>
      </w:pPr>
      <w:hyperlink w:anchor="_Toc104537061" w:history="1">
        <w:r w:rsidR="002D0DF9" w:rsidRPr="00852F20">
          <w:rPr>
            <w:rStyle w:val="Hyperlink"/>
            <w:noProof/>
          </w:rPr>
          <w:t>Uç Nokta için Microsoft Defender</w:t>
        </w:r>
        <w:r w:rsidR="002D0DF9">
          <w:rPr>
            <w:noProof/>
            <w:webHidden/>
          </w:rPr>
          <w:tab/>
        </w:r>
        <w:r w:rsidR="002D0DF9">
          <w:rPr>
            <w:noProof/>
            <w:webHidden/>
          </w:rPr>
          <w:fldChar w:fldCharType="begin"/>
        </w:r>
        <w:r w:rsidR="002D0DF9">
          <w:rPr>
            <w:noProof/>
            <w:webHidden/>
          </w:rPr>
          <w:instrText xml:space="preserve"> PAGEREF _Toc104537061 \h </w:instrText>
        </w:r>
        <w:r w:rsidR="002D0DF9">
          <w:rPr>
            <w:noProof/>
            <w:webHidden/>
          </w:rPr>
        </w:r>
        <w:r w:rsidR="002D0DF9">
          <w:rPr>
            <w:noProof/>
            <w:webHidden/>
          </w:rPr>
          <w:fldChar w:fldCharType="separate"/>
        </w:r>
        <w:r w:rsidR="002D0DF9">
          <w:rPr>
            <w:noProof/>
            <w:webHidden/>
          </w:rPr>
          <w:t>24</w:t>
        </w:r>
        <w:r w:rsidR="002D0DF9">
          <w:rPr>
            <w:noProof/>
            <w:webHidden/>
          </w:rPr>
          <w:fldChar w:fldCharType="end"/>
        </w:r>
      </w:hyperlink>
    </w:p>
    <w:p w14:paraId="4FBC878F" w14:textId="4BF6E487" w:rsidR="002D0DF9" w:rsidRDefault="007A6E55">
      <w:pPr>
        <w:pStyle w:val="TOC4"/>
        <w:tabs>
          <w:tab w:val="right" w:leader="dot" w:pos="5030"/>
        </w:tabs>
        <w:rPr>
          <w:rFonts w:eastAsiaTheme="minorEastAsia"/>
          <w:smallCaps w:val="0"/>
          <w:noProof/>
          <w:sz w:val="22"/>
          <w:lang w:val="en-US" w:eastAsia="en-US" w:bidi="ar-SA"/>
        </w:rPr>
      </w:pPr>
      <w:hyperlink w:anchor="_Toc104537062" w:history="1">
        <w:r w:rsidR="002D0DF9" w:rsidRPr="00852F20">
          <w:rPr>
            <w:rStyle w:val="Hyperlink"/>
            <w:noProof/>
          </w:rPr>
          <w:t>Evrensel Yazdırma</w:t>
        </w:r>
        <w:r w:rsidR="002D0DF9">
          <w:rPr>
            <w:noProof/>
            <w:webHidden/>
          </w:rPr>
          <w:tab/>
        </w:r>
        <w:r w:rsidR="002D0DF9">
          <w:rPr>
            <w:noProof/>
            <w:webHidden/>
          </w:rPr>
          <w:fldChar w:fldCharType="begin"/>
        </w:r>
        <w:r w:rsidR="002D0DF9">
          <w:rPr>
            <w:noProof/>
            <w:webHidden/>
          </w:rPr>
          <w:instrText xml:space="preserve"> PAGEREF _Toc104537062 \h </w:instrText>
        </w:r>
        <w:r w:rsidR="002D0DF9">
          <w:rPr>
            <w:noProof/>
            <w:webHidden/>
          </w:rPr>
        </w:r>
        <w:r w:rsidR="002D0DF9">
          <w:rPr>
            <w:noProof/>
            <w:webHidden/>
          </w:rPr>
          <w:fldChar w:fldCharType="separate"/>
        </w:r>
        <w:r w:rsidR="002D0DF9">
          <w:rPr>
            <w:noProof/>
            <w:webHidden/>
          </w:rPr>
          <w:t>24</w:t>
        </w:r>
        <w:r w:rsidR="002D0DF9">
          <w:rPr>
            <w:noProof/>
            <w:webHidden/>
          </w:rPr>
          <w:fldChar w:fldCharType="end"/>
        </w:r>
      </w:hyperlink>
    </w:p>
    <w:p w14:paraId="0EA95D82" w14:textId="375869AB" w:rsidR="002D0DF9" w:rsidRDefault="007A6E55">
      <w:pPr>
        <w:pStyle w:val="TOC4"/>
        <w:tabs>
          <w:tab w:val="right" w:leader="dot" w:pos="5030"/>
        </w:tabs>
        <w:rPr>
          <w:rFonts w:eastAsiaTheme="minorEastAsia"/>
          <w:smallCaps w:val="0"/>
          <w:noProof/>
          <w:sz w:val="22"/>
          <w:lang w:val="en-US" w:eastAsia="en-US" w:bidi="ar-SA"/>
        </w:rPr>
      </w:pPr>
      <w:hyperlink w:anchor="_Toc104537063" w:history="1">
        <w:r w:rsidR="002D0DF9" w:rsidRPr="00852F20">
          <w:rPr>
            <w:rStyle w:val="Hyperlink"/>
            <w:noProof/>
          </w:rPr>
          <w:t>Windows 365</w:t>
        </w:r>
        <w:r w:rsidR="002D0DF9">
          <w:rPr>
            <w:noProof/>
            <w:webHidden/>
          </w:rPr>
          <w:tab/>
        </w:r>
        <w:r w:rsidR="002D0DF9">
          <w:rPr>
            <w:noProof/>
            <w:webHidden/>
          </w:rPr>
          <w:fldChar w:fldCharType="begin"/>
        </w:r>
        <w:r w:rsidR="002D0DF9">
          <w:rPr>
            <w:noProof/>
            <w:webHidden/>
          </w:rPr>
          <w:instrText xml:space="preserve"> PAGEREF _Toc104537063 \h </w:instrText>
        </w:r>
        <w:r w:rsidR="002D0DF9">
          <w:rPr>
            <w:noProof/>
            <w:webHidden/>
          </w:rPr>
        </w:r>
        <w:r w:rsidR="002D0DF9">
          <w:rPr>
            <w:noProof/>
            <w:webHidden/>
          </w:rPr>
          <w:fldChar w:fldCharType="separate"/>
        </w:r>
        <w:r w:rsidR="002D0DF9">
          <w:rPr>
            <w:noProof/>
            <w:webHidden/>
          </w:rPr>
          <w:t>25</w:t>
        </w:r>
        <w:r w:rsidR="002D0DF9">
          <w:rPr>
            <w:noProof/>
            <w:webHidden/>
          </w:rPr>
          <w:fldChar w:fldCharType="end"/>
        </w:r>
      </w:hyperlink>
    </w:p>
    <w:p w14:paraId="1274EE90" w14:textId="7FCF57D4" w:rsidR="002D0DF9" w:rsidRDefault="007A6E55">
      <w:pPr>
        <w:pStyle w:val="TOC1"/>
        <w:tabs>
          <w:tab w:val="right" w:leader="dot" w:pos="5030"/>
        </w:tabs>
        <w:rPr>
          <w:rFonts w:eastAsiaTheme="minorEastAsia"/>
          <w:b w:val="0"/>
          <w:caps w:val="0"/>
          <w:noProof/>
          <w:sz w:val="22"/>
          <w:lang w:val="en-US" w:eastAsia="en-US" w:bidi="ar-SA"/>
        </w:rPr>
      </w:pPr>
      <w:hyperlink w:anchor="_Toc104537064" w:history="1">
        <w:r w:rsidR="002D0DF9" w:rsidRPr="00852F20">
          <w:rPr>
            <w:rStyle w:val="Hyperlink"/>
            <w:noProof/>
          </w:rPr>
          <w:t>Ek A – Virüs Saptama ve Engelleme, İstenmeyen E-posta Etkinliği ya da Yanlış Pozitif İçin Hizmet Seviyesi Taahhüdü</w:t>
        </w:r>
        <w:r w:rsidR="002D0DF9">
          <w:rPr>
            <w:noProof/>
            <w:webHidden/>
          </w:rPr>
          <w:tab/>
        </w:r>
        <w:r w:rsidR="002D0DF9">
          <w:rPr>
            <w:noProof/>
            <w:webHidden/>
          </w:rPr>
          <w:fldChar w:fldCharType="begin"/>
        </w:r>
        <w:r w:rsidR="002D0DF9">
          <w:rPr>
            <w:noProof/>
            <w:webHidden/>
          </w:rPr>
          <w:instrText xml:space="preserve"> PAGEREF _Toc104537064 \h </w:instrText>
        </w:r>
        <w:r w:rsidR="002D0DF9">
          <w:rPr>
            <w:noProof/>
            <w:webHidden/>
          </w:rPr>
        </w:r>
        <w:r w:rsidR="002D0DF9">
          <w:rPr>
            <w:noProof/>
            <w:webHidden/>
          </w:rPr>
          <w:fldChar w:fldCharType="separate"/>
        </w:r>
        <w:r w:rsidR="002D0DF9">
          <w:rPr>
            <w:noProof/>
            <w:webHidden/>
          </w:rPr>
          <w:t>26</w:t>
        </w:r>
        <w:r w:rsidR="002D0DF9">
          <w:rPr>
            <w:noProof/>
            <w:webHidden/>
          </w:rPr>
          <w:fldChar w:fldCharType="end"/>
        </w:r>
      </w:hyperlink>
    </w:p>
    <w:p w14:paraId="2AF0D5D8" w14:textId="700C1296" w:rsidR="002D0DF9" w:rsidRDefault="007A6E55">
      <w:pPr>
        <w:pStyle w:val="TOC1"/>
        <w:tabs>
          <w:tab w:val="right" w:leader="dot" w:pos="5030"/>
        </w:tabs>
        <w:rPr>
          <w:rFonts w:eastAsiaTheme="minorEastAsia"/>
          <w:b w:val="0"/>
          <w:caps w:val="0"/>
          <w:noProof/>
          <w:sz w:val="22"/>
          <w:lang w:val="en-US" w:eastAsia="en-US" w:bidi="ar-SA"/>
        </w:rPr>
      </w:pPr>
      <w:hyperlink w:anchor="_Toc104537065" w:history="1">
        <w:r w:rsidR="002D0DF9" w:rsidRPr="00852F20">
          <w:rPr>
            <w:rStyle w:val="Hyperlink"/>
            <w:noProof/>
          </w:rPr>
          <w:t>Ek B - Çalışma Süresi ve E-posta İletimi İçin Hizmet Seviyesi Taahhüdü</w:t>
        </w:r>
        <w:r w:rsidR="002D0DF9">
          <w:rPr>
            <w:noProof/>
            <w:webHidden/>
          </w:rPr>
          <w:tab/>
        </w:r>
        <w:r w:rsidR="002D0DF9">
          <w:rPr>
            <w:noProof/>
            <w:webHidden/>
          </w:rPr>
          <w:fldChar w:fldCharType="begin"/>
        </w:r>
        <w:r w:rsidR="002D0DF9">
          <w:rPr>
            <w:noProof/>
            <w:webHidden/>
          </w:rPr>
          <w:instrText xml:space="preserve"> PAGEREF _Toc104537065 \h </w:instrText>
        </w:r>
        <w:r w:rsidR="002D0DF9">
          <w:rPr>
            <w:noProof/>
            <w:webHidden/>
          </w:rPr>
        </w:r>
        <w:r w:rsidR="002D0DF9">
          <w:rPr>
            <w:noProof/>
            <w:webHidden/>
          </w:rPr>
          <w:fldChar w:fldCharType="separate"/>
        </w:r>
        <w:r w:rsidR="002D0DF9">
          <w:rPr>
            <w:noProof/>
            <w:webHidden/>
          </w:rPr>
          <w:t>28</w:t>
        </w:r>
        <w:r w:rsidR="002D0DF9">
          <w:rPr>
            <w:noProof/>
            <w:webHidden/>
          </w:rPr>
          <w:fldChar w:fldCharType="end"/>
        </w:r>
      </w:hyperlink>
    </w:p>
    <w:p w14:paraId="3CA6B7A7" w14:textId="7448768A" w:rsidR="00E03E25" w:rsidRPr="00D53DAF" w:rsidRDefault="00AD5C31" w:rsidP="00F757C4">
      <w:pPr>
        <w:pStyle w:val="TOC1"/>
        <w:tabs>
          <w:tab w:val="right" w:leader="dot" w:pos="5030"/>
        </w:tabs>
        <w:sectPr w:rsidR="00E03E25" w:rsidRPr="00D53DAF" w:rsidSect="00914BDB">
          <w:footerReference w:type="default" r:id="rId16"/>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04537009"/>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8"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A06B3E" w:rsidRPr="003650D0" w14:paraId="3D25B8B7" w14:textId="77777777" w:rsidTr="00F8721C">
        <w:trPr>
          <w:tblHeader/>
        </w:trPr>
        <w:tc>
          <w:tcPr>
            <w:tcW w:w="5395" w:type="dxa"/>
            <w:shd w:val="clear" w:color="auto" w:fill="auto"/>
          </w:tcPr>
          <w:p w14:paraId="4680CF00" w14:textId="771ADD76" w:rsidR="00A06B3E" w:rsidRPr="006D4DC5" w:rsidRDefault="00DC458D" w:rsidP="00F8721C">
            <w:pPr>
              <w:pStyle w:val="ProductList-OfferingBody"/>
              <w:rPr>
                <w:color w:val="000000" w:themeColor="text1"/>
              </w:rPr>
            </w:pPr>
            <w:r>
              <w:rPr>
                <w:color w:val="000000" w:themeColor="text1"/>
              </w:rPr>
              <w:t>Microsoft Sürdürülebilirlik Yöneticisi</w:t>
            </w:r>
          </w:p>
        </w:tc>
        <w:tc>
          <w:tcPr>
            <w:tcW w:w="5395" w:type="dxa"/>
            <w:shd w:val="clear" w:color="auto" w:fill="auto"/>
          </w:tcPr>
          <w:p w14:paraId="56921468" w14:textId="77777777" w:rsidR="00A06B3E" w:rsidRPr="006D4DC5" w:rsidRDefault="00A06B3E" w:rsidP="00F8721C">
            <w:pPr>
              <w:pStyle w:val="ProductList-OfferingBody"/>
              <w:rPr>
                <w:color w:val="000000" w:themeColor="text1"/>
              </w:rPr>
            </w:pPr>
            <w:r>
              <w:rPr>
                <w:color w:val="000000" w:themeColor="text1"/>
              </w:rPr>
              <w:t>Yok</w:t>
            </w:r>
          </w:p>
        </w:tc>
      </w:tr>
    </w:tbl>
    <w:p w14:paraId="6B0E9D78" w14:textId="37D42E6B" w:rsidR="00657921" w:rsidRDefault="00657921" w:rsidP="00657921">
      <w:pPr>
        <w:pStyle w:val="ProductList-Body"/>
      </w:pPr>
    </w:p>
    <w:p w14:paraId="4C64EAC8" w14:textId="36A04C6F" w:rsidR="006B33BE" w:rsidRPr="00D53DAF" w:rsidRDefault="007A6E55"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04537010"/>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04537011"/>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537012"/>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0453701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7A6E55"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7A6E55"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04537014"/>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7A6E55"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7A6E55"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04537015"/>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7A6E55"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7A6E55"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04537016"/>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7A6E5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104537017"/>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7A6E55"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7A6E55"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04537018"/>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7A6E55"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7A6E55"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04537019"/>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7A6E55"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7A6E55"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F54AEC">
      <w:pPr>
        <w:pStyle w:val="ProductList-Offering2Heading"/>
        <w:pBdr>
          <w:between w:val="single" w:sz="4" w:space="1" w:color="auto"/>
        </w:pBdr>
        <w:tabs>
          <w:tab w:val="clear" w:pos="360"/>
          <w:tab w:val="clear" w:pos="720"/>
          <w:tab w:val="clear" w:pos="1080"/>
        </w:tabs>
        <w:outlineLvl w:val="2"/>
      </w:pPr>
      <w:bookmarkStart w:id="40" w:name="_Toc104537020"/>
      <w:bookmarkStart w:id="41" w:name="_Toc45621200"/>
      <w:bookmarkStart w:id="42" w:name="MicrosoftDynamics365forFianceandOps"/>
      <w:bookmarkStart w:id="43" w:name="_Toc491629842"/>
      <w:bookmarkStart w:id="44" w:name="_Toc494721331"/>
      <w:bookmarkEnd w:id="25"/>
      <w:bookmarkEnd w:id="26"/>
      <w:bookmarkEnd w:id="32"/>
      <w:bookmarkEnd w:id="33"/>
      <w:bookmarkEnd w:id="34"/>
      <w:bookmarkEnd w:id="36"/>
      <w:r>
        <w:t>Dynamics 365 Intelligent Order Management</w:t>
      </w:r>
      <w:bookmarkEnd w:id="40"/>
    </w:p>
    <w:p w14:paraId="65E4CAC6" w14:textId="77777777" w:rsidR="00F54AEC" w:rsidRPr="000503E2" w:rsidRDefault="00F54AEC" w:rsidP="00F54AEC">
      <w:pPr>
        <w:pStyle w:val="ProductList-Body"/>
      </w:pPr>
      <w:r>
        <w:rPr>
          <w:b/>
          <w:color w:val="00188F"/>
        </w:rPr>
        <w:lastRenderedPageBreak/>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7A6E55"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7A6E55"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04537021"/>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7A6E55"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7A6E55"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04537022"/>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7A6E55"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7A6E55"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04537023"/>
      <w:r w:rsidRPr="00D53DAF">
        <w:lastRenderedPageBreak/>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7A6E55"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04537024"/>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04537025"/>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7A6E55"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lastRenderedPageBreak/>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04537026"/>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7A6E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04537027"/>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7A6E5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7A6E55"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04537028"/>
      <w:r w:rsidRPr="00D53DAF">
        <w:lastRenderedPageBreak/>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7A6E5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04537029"/>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7A6E55"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04537030"/>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7A6E55"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lastRenderedPageBreak/>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04537031"/>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7A6E55"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04537032"/>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7A6E55"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04537033"/>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7A6E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04537034"/>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7A6E55"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7A6E55"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04537035"/>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7A6E5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7A6E55"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6" w:name="_Toc104537036"/>
      <w:r w:rsidRPr="00D53DAF">
        <w:t>Office 365 Video</w:t>
      </w:r>
      <w:bookmarkEnd w:id="76"/>
    </w:p>
    <w:p w14:paraId="3A79F112" w14:textId="62384A47" w:rsidR="000C13D4" w:rsidRPr="00D53DAF" w:rsidRDefault="000C13D4" w:rsidP="00F6739A">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7A6E55"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04537037"/>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7A6E55"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7A6E55"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04537038"/>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7A6E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04537039"/>
      <w:r w:rsidRPr="00D53DAF">
        <w:lastRenderedPageBreak/>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7A6E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04537040"/>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7A6E5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104537041"/>
      <w:bookmarkStart w:id="86" w:name="_Toc444249041"/>
      <w:bookmarkEnd w:id="81"/>
      <w:bookmarkEnd w:id="82"/>
      <w:bookmarkEnd w:id="83"/>
      <w:r>
        <w:t>Microsoft Teams: Arama Planları, Telefon Sistemi ve Sesli Konferans</w:t>
      </w:r>
      <w:bookmarkEnd w:id="84"/>
      <w:bookmarkEnd w:id="85"/>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7A6E55"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lastRenderedPageBreak/>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04537042"/>
      <w:r>
        <w:t>Microsoft Teams</w:t>
      </w:r>
      <w:r w:rsidR="00777804" w:rsidRPr="00D53DAF">
        <w:t>: Ses Kalitesi</w:t>
      </w:r>
      <w:bookmarkEnd w:id="86"/>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7A6E5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04537043"/>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7A6E55"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04537044"/>
      <w:r w:rsidRPr="00D53DAF">
        <w:t>Yammer Enterprise</w:t>
      </w:r>
      <w:bookmarkEnd w:id="91"/>
    </w:p>
    <w:p w14:paraId="2A669564" w14:textId="3E4757CE" w:rsidR="00C86427" w:rsidRPr="00D53DAF" w:rsidRDefault="00C86427" w:rsidP="00DD7A71">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7A6E55"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7A6E55"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92" w:name="_Toc52348915"/>
      <w:bookmarkStart w:id="93" w:name="_Toc104537045"/>
      <w:bookmarkStart w:id="94" w:name="MicrosoftAzureServices"/>
      <w:r>
        <w:t>Microsoft Azure Hizmetleri</w:t>
      </w:r>
      <w:bookmarkEnd w:id="92"/>
      <w:r>
        <w:t xml:space="preserve"> ve Azure Planları</w:t>
      </w:r>
      <w:bookmarkEnd w:id="93"/>
    </w:p>
    <w:bookmarkEnd w:id="94"/>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3"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5" w:name="_Toc104537046"/>
      <w:r w:rsidRPr="00D53DAF">
        <w:t>Diğer Çevrimiçi Hizmetler</w:t>
      </w:r>
      <w:bookmarkEnd w:id="95"/>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Kimlik için Microsoft Defender</w:t>
      </w:r>
      <w:bookmarkEnd w:id="96"/>
    </w:p>
    <w:bookmarkEnd w:id="97"/>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7A6E55"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7A6E55"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8" w:name="_Toc104537047"/>
      <w:r w:rsidRPr="00D53DAF">
        <w:t>Bing Maps Kurumsal Platform</w:t>
      </w:r>
      <w:bookmarkEnd w:id="98"/>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7A6E5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lastRenderedPageBreak/>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9"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100" w:name="_Toc104537048"/>
      <w:r w:rsidRPr="00D53DAF">
        <w:t>Bing Maps Mobil Varlık Yönetimi</w:t>
      </w:r>
      <w:bookmarkEnd w:id="99"/>
      <w:bookmarkEnd w:id="100"/>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7A6E5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101" w:name="CloudAppSecurity"/>
    <w:bookmarkStart w:id="102" w:name="_Toc461003310"/>
    <w:bookmarkStart w:id="103" w:name="_Toc463347210"/>
    <w:bookmarkStart w:id="104" w:name="Intune"/>
    <w:bookmarkStart w:id="105" w:name="_Toc461003318"/>
    <w:bookmarkStart w:id="106" w:name="_Toc457812889"/>
    <w:bookmarkStart w:id="107"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8" w:name="_Toc104537049"/>
      <w:r w:rsidRPr="00D53DAF">
        <w:t>Microsoft Cloud App Security</w:t>
      </w:r>
      <w:bookmarkEnd w:id="101"/>
      <w:bookmarkEnd w:id="102"/>
      <w:bookmarkEnd w:id="108"/>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7A6E55"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lastRenderedPageBreak/>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7A6E5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9" w:name="_Toc24376713"/>
      <w:bookmarkStart w:id="110" w:name="_Toc104537050"/>
      <w:bookmarkEnd w:id="103"/>
      <w:r w:rsidRPr="00606E4C">
        <w:t xml:space="preserve">Microsoft </w:t>
      </w:r>
      <w:bookmarkEnd w:id="109"/>
      <w:r w:rsidRPr="00606E4C">
        <w:t>Power Automate</w:t>
      </w:r>
      <w:bookmarkEnd w:id="110"/>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7A6E5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7A6E5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11" w:name="_Toc104537051"/>
      <w:r w:rsidRPr="00D53DAF">
        <w:t>Microsoft Intune</w:t>
      </w:r>
      <w:bookmarkEnd w:id="104"/>
      <w:bookmarkEnd w:id="105"/>
      <w:bookmarkEnd w:id="111"/>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7A6E55"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12"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13" w:name="_Toc104537052"/>
      <w:r w:rsidRPr="00D53DAF">
        <w:t xml:space="preserve">Microsoft </w:t>
      </w:r>
      <w:r>
        <w:t>Kaizala Pro</w:t>
      </w:r>
      <w:bookmarkEnd w:id="113"/>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7A6E55"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7A6E5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14" w:name="_Toc104537053"/>
      <w:r w:rsidRPr="00D53DAF">
        <w:t>Microsoft Power</w:t>
      </w:r>
      <w:r w:rsidR="003F3ACC">
        <w:t xml:space="preserve"> </w:t>
      </w:r>
      <w:r w:rsidRPr="00D53DAF">
        <w:t>Apps</w:t>
      </w:r>
      <w:bookmarkEnd w:id="112"/>
      <w:bookmarkEnd w:id="114"/>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7A6E55"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7A6E55"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115" w:name="_Toc34826924"/>
      <w:bookmarkStart w:id="116" w:name="_Toc104537054"/>
      <w:r w:rsidRPr="002D0DF9">
        <w:t>Microsoft Power Sanal Aracıları</w:t>
      </w:r>
      <w:bookmarkEnd w:id="115"/>
      <w:bookmarkEnd w:id="116"/>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7A6E55"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7A6E55"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117" w:name="_Toc102075655"/>
      <w:bookmarkStart w:id="118" w:name="_Toc102076453"/>
      <w:bookmarkStart w:id="119" w:name="_Toc104537055"/>
      <w:r>
        <w:t>Microsoft Sürdürülebilirlik Yöneticisi</w:t>
      </w:r>
      <w:bookmarkEnd w:id="117"/>
      <w:bookmarkEnd w:id="118"/>
      <w:bookmarkEnd w:id="119"/>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7A6E55"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7A6E55"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20" w:name="_Toc104537056"/>
      <w:r w:rsidRPr="00D53DAF">
        <w:t>Minecraft: Education Edition</w:t>
      </w:r>
      <w:bookmarkEnd w:id="106"/>
      <w:bookmarkEnd w:id="12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7A6E55"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7A6E5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21" w:name="_Toc104537057"/>
      <w:r w:rsidRPr="00D53DAF">
        <w:t>Power BI Embedded</w:t>
      </w:r>
      <w:bookmarkEnd w:id="107"/>
      <w:bookmarkEnd w:id="121"/>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7A6E55"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lastRenderedPageBreak/>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22"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23" w:name="_Toc104537058"/>
      <w:r w:rsidRPr="00D53DAF">
        <w:t>Power BI Premium</w:t>
      </w:r>
      <w:bookmarkEnd w:id="122"/>
      <w:bookmarkEnd w:id="123"/>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7A6E55"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7A6E55"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24" w:name="_Toc104537059"/>
      <w:r w:rsidRPr="00D53DAF">
        <w:t>Power BI</w:t>
      </w:r>
      <w:r w:rsidR="00E1233D" w:rsidRPr="00D53DAF">
        <w:t xml:space="preserve"> Pro</w:t>
      </w:r>
      <w:bookmarkEnd w:id="124"/>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7A6E55"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7A6E5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25" w:name="_Toc104537060"/>
      <w:r w:rsidRPr="00D53DAF">
        <w:t>Translator API</w:t>
      </w:r>
      <w:bookmarkEnd w:id="125"/>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7A6E5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26" w:name="_Toc457821597"/>
    <w:bookmarkStart w:id="127" w:name="_Toc465333785"/>
    <w:bookmarkStart w:id="128"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29" w:name="_Toc104537061"/>
      <w:bookmarkEnd w:id="126"/>
      <w:bookmarkEnd w:id="127"/>
      <w:bookmarkEnd w:id="128"/>
      <w:r w:rsidRPr="003B799E">
        <w:t>Uç Nokta için</w:t>
      </w:r>
      <w:r>
        <w:t xml:space="preserve"> </w:t>
      </w:r>
      <w:bookmarkStart w:id="130" w:name="_Toc13833097"/>
      <w:bookmarkStart w:id="131" w:name="_Toc55920329"/>
      <w:bookmarkEnd w:id="130"/>
      <w:bookmarkEnd w:id="131"/>
      <w:r w:rsidRPr="003B799E">
        <w:t>Microsoft Defender</w:t>
      </w:r>
      <w:bookmarkEnd w:id="129"/>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7A6E55"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7A6E55"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32" w:name="_Toc64891130"/>
      <w:bookmarkStart w:id="133" w:name="_Toc104537062"/>
      <w:r>
        <w:t>Evrensel Yazdırma</w:t>
      </w:r>
      <w:bookmarkEnd w:id="132"/>
      <w:bookmarkEnd w:id="133"/>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7A6E55"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lastRenderedPageBreak/>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7A6E55"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134" w:name="_Toc77624055"/>
      <w:bookmarkStart w:id="135" w:name="_Toc104537063"/>
      <w:r>
        <w:t>Windows 365</w:t>
      </w:r>
      <w:bookmarkEnd w:id="134"/>
      <w:bookmarkEnd w:id="135"/>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7A6E55"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4"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7A6E55"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5"/>
          <w:footerReference w:type="first" r:id="rId26"/>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36" w:name="AppendixA"/>
      <w:bookmarkStart w:id="137" w:name="_Toc104537064"/>
      <w:r w:rsidRPr="00D53DAF">
        <w:lastRenderedPageBreak/>
        <w:t>Ek A</w:t>
      </w:r>
      <w:bookmarkEnd w:id="136"/>
      <w:r w:rsidRPr="00D53DAF">
        <w:t xml:space="preserve"> – Virüs Saptama ve Engelleme, İstenmeyen E-posta Etkinliği ya da Yanlış Pozitif İçin Hizmet Seviyesi Taahhüdü</w:t>
      </w:r>
      <w:bookmarkEnd w:id="13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38" w:name="AppendixB"/>
      <w:bookmarkStart w:id="139" w:name="_Toc104537065"/>
      <w:r w:rsidRPr="00D53DAF">
        <w:lastRenderedPageBreak/>
        <w:t>Ek B</w:t>
      </w:r>
      <w:bookmarkEnd w:id="138"/>
      <w:r w:rsidRPr="00D53DAF">
        <w:t xml:space="preserve"> - Çalışma Süresi ve E-posta İletimi İçin Hizmet Seviyesi Taahhüdü</w:t>
      </w:r>
      <w:bookmarkEnd w:id="13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8B07" w14:textId="77777777" w:rsidR="007A6E55" w:rsidRDefault="007A6E55" w:rsidP="009A573F">
      <w:pPr>
        <w:spacing w:after="0" w:line="240" w:lineRule="auto"/>
      </w:pPr>
      <w:r>
        <w:separator/>
      </w:r>
    </w:p>
  </w:endnote>
  <w:endnote w:type="continuationSeparator" w:id="0">
    <w:p w14:paraId="25BF0284" w14:textId="77777777" w:rsidR="007A6E55" w:rsidRDefault="007A6E55" w:rsidP="009A573F">
      <w:pPr>
        <w:spacing w:after="0" w:line="240" w:lineRule="auto"/>
      </w:pPr>
      <w:r>
        <w:continuationSeparator/>
      </w:r>
    </w:p>
  </w:endnote>
  <w:endnote w:type="continuationNotice" w:id="1">
    <w:p w14:paraId="6DF1F662" w14:textId="77777777" w:rsidR="007A6E55" w:rsidRDefault="007A6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9A39" w14:textId="77777777" w:rsidR="004E6336" w:rsidRDefault="004E63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7A6E55"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7A6E55"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7A6E55"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7A6E55"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7A6E55"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7A6E5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7A6E55"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7A6E55"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7A6E55"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7A6E55"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7A6E55"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7A6E55"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7A6E55"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7A6E55"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7A6E55"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7A6E55"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7A6E5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7A6E55"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7A6E55"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7A6E5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7A6E5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E27A" w14:textId="77777777" w:rsidR="007A6E55" w:rsidRDefault="007A6E55" w:rsidP="009A573F">
      <w:pPr>
        <w:spacing w:after="0" w:line="240" w:lineRule="auto"/>
      </w:pPr>
      <w:r>
        <w:separator/>
      </w:r>
    </w:p>
  </w:footnote>
  <w:footnote w:type="continuationSeparator" w:id="0">
    <w:p w14:paraId="70AFF754" w14:textId="77777777" w:rsidR="007A6E55" w:rsidRDefault="007A6E55" w:rsidP="009A573F">
      <w:pPr>
        <w:spacing w:after="0" w:line="240" w:lineRule="auto"/>
      </w:pPr>
      <w:r>
        <w:continuationSeparator/>
      </w:r>
    </w:p>
  </w:footnote>
  <w:footnote w:type="continuationNotice" w:id="1">
    <w:p w14:paraId="6B2D9DBF" w14:textId="77777777" w:rsidR="007A6E55" w:rsidRDefault="007A6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A997" w14:textId="77777777" w:rsidR="004E6336" w:rsidRDefault="004E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17AAFBD3" w:rsidR="00BC7F97" w:rsidRPr="00A23C44" w:rsidRDefault="007A6E55"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B75ADE">
          <w:rPr>
            <w:sz w:val="16"/>
            <w:szCs w:val="16"/>
          </w:rPr>
          <w:t>Haziran</w:t>
        </w:r>
        <w:r w:rsidR="00C10EA1" w:rsidRPr="00C10EA1">
          <w:rPr>
            <w:rFonts w:ascii="Calibri" w:hAnsi="Calibri" w:cs="Calibri"/>
            <w:color w:val="000000" w:themeColor="text1"/>
            <w:sz w:val="16"/>
            <w:szCs w:val="16"/>
          </w:rPr>
          <w:t xml:space="preserve"> 2022</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53A" w14:textId="77777777" w:rsidR="004E6336" w:rsidRDefault="004E63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ED29DF9" w:rsidR="00BC7F97" w:rsidRPr="00A265D1" w:rsidRDefault="007A6E55"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End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B75ADE">
          <w:rPr>
            <w:sz w:val="16"/>
            <w:szCs w:val="16"/>
          </w:rPr>
          <w:t>Haziran</w:t>
        </w:r>
        <w:r w:rsidR="00C10EA1" w:rsidRPr="00C10EA1">
          <w:rPr>
            <w:rFonts w:ascii="Calibri" w:hAnsi="Calibri" w:cs="Calibri"/>
            <w:color w:val="000000" w:themeColor="text1"/>
            <w:sz w:val="16"/>
            <w:szCs w:val="16"/>
          </w:rPr>
          <w:t xml:space="preserve"> 2022</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13"/>
  </w:num>
  <w:num w:numId="2" w16cid:durableId="757675400">
    <w:abstractNumId w:val="7"/>
  </w:num>
  <w:num w:numId="3" w16cid:durableId="1209951001">
    <w:abstractNumId w:val="4"/>
  </w:num>
  <w:num w:numId="4" w16cid:durableId="280192288">
    <w:abstractNumId w:val="11"/>
  </w:num>
  <w:num w:numId="5" w16cid:durableId="449059435">
    <w:abstractNumId w:val="0"/>
  </w:num>
  <w:num w:numId="6" w16cid:durableId="913322537">
    <w:abstractNumId w:val="10"/>
  </w:num>
  <w:num w:numId="7" w16cid:durableId="825973543">
    <w:abstractNumId w:val="6"/>
  </w:num>
  <w:num w:numId="8" w16cid:durableId="1828738672">
    <w:abstractNumId w:val="9"/>
  </w:num>
  <w:num w:numId="9" w16cid:durableId="1727953760">
    <w:abstractNumId w:val="8"/>
  </w:num>
  <w:num w:numId="10" w16cid:durableId="2010405391">
    <w:abstractNumId w:val="2"/>
  </w:num>
  <w:num w:numId="11" w16cid:durableId="765615934">
    <w:abstractNumId w:val="1"/>
  </w:num>
  <w:num w:numId="12" w16cid:durableId="1385985857">
    <w:abstractNumId w:val="3"/>
  </w:num>
  <w:num w:numId="13" w16cid:durableId="77220312">
    <w:abstractNumId w:val="14"/>
  </w:num>
  <w:num w:numId="14" w16cid:durableId="294067844">
    <w:abstractNumId w:val="12"/>
  </w:num>
  <w:num w:numId="15" w16cid:durableId="12691972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5tR/LhH3HP+zw6G7Op0OKNYbAL71ndtNKWd9XcngPUVZTryOAF0j6BkqZFqjI/2yJrpsYfm2Bs3ajE25WbqNiQ==" w:salt="WCwaz1UPZILhfZgv5dkv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12160</Words>
  <Characters>69317</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2022-05-27T17:59:00Z</dcterms:created>
  <dcterms:modified xsi:type="dcterms:W3CDTF">2022-05-27T17:59:00Z</dcterms:modified>
</cp:coreProperties>
</file>